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2B1DA9">
      <w:pPr>
        <w:pStyle w:val="2"/>
        <w:spacing w:before="150" w:line="224" w:lineRule="auto"/>
        <w:ind w:left="2774"/>
        <w:outlineLvl w:val="0"/>
        <w:rPr>
          <w:sz w:val="31"/>
          <w:szCs w:val="31"/>
        </w:rPr>
      </w:pPr>
      <w:r>
        <w:rPr>
          <w:b/>
          <w:bCs/>
          <w:spacing w:val="6"/>
          <w:sz w:val="31"/>
          <w:szCs w:val="31"/>
        </w:rPr>
        <w:t>环境和社会影响管理计划</w:t>
      </w:r>
    </w:p>
    <w:p w14:paraId="40E0E3B3">
      <w:pPr>
        <w:spacing w:line="298" w:lineRule="auto"/>
        <w:rPr>
          <w:rFonts w:ascii="Arial"/>
          <w:sz w:val="21"/>
        </w:rPr>
      </w:pPr>
    </w:p>
    <w:p w14:paraId="5938BD3C">
      <w:pPr>
        <w:pStyle w:val="2"/>
        <w:spacing w:before="78" w:line="222" w:lineRule="auto"/>
        <w:ind w:left="18"/>
      </w:pPr>
      <w:r>
        <w:rPr>
          <w:b/>
          <w:bCs/>
          <w:spacing w:val="-14"/>
        </w:rPr>
        <w:t>1.0</w:t>
      </w:r>
      <w:r>
        <w:rPr>
          <w:spacing w:val="61"/>
        </w:rPr>
        <w:t xml:space="preserve"> </w:t>
      </w:r>
      <w:r>
        <w:rPr>
          <w:b/>
          <w:bCs/>
          <w:spacing w:val="-14"/>
        </w:rPr>
        <w:t>目的</w:t>
      </w:r>
    </w:p>
    <w:p w14:paraId="61556343">
      <w:pPr>
        <w:pStyle w:val="2"/>
        <w:spacing w:before="24" w:line="239" w:lineRule="auto"/>
        <w:ind w:right="552" w:firstLine="3"/>
      </w:pPr>
      <w:r>
        <w:t>建立一个计划来识别、预防、监测、减轻和阐述公司</w:t>
      </w:r>
      <w:r>
        <w:rPr>
          <w:spacing w:val="-1"/>
        </w:rPr>
        <w:t>新项目或现有项目的重大变化对</w:t>
      </w:r>
      <w:r>
        <w:t>环境和社会造成的重大影响，包括环境影响、健康和安全、社</w:t>
      </w:r>
      <w:r>
        <w:rPr>
          <w:spacing w:val="-1"/>
        </w:rPr>
        <w:t>会和文化、人权影响。</w:t>
      </w:r>
      <w:r>
        <w:t>采取多层次的减缓措施来预测并避免对员工、受影响的社区</w:t>
      </w:r>
      <w:r>
        <w:rPr>
          <w:spacing w:val="-1"/>
        </w:rPr>
        <w:t>和环境所带来的风险和</w:t>
      </w:r>
    </w:p>
    <w:p w14:paraId="79D8521B">
      <w:pPr>
        <w:pStyle w:val="2"/>
        <w:spacing w:before="1" w:line="241" w:lineRule="auto"/>
        <w:ind w:right="552"/>
      </w:pPr>
      <w:r>
        <w:t>影响，或者在不可能避免的情况下将风险和影响最小化，通</w:t>
      </w:r>
      <w:r>
        <w:rPr>
          <w:spacing w:val="-1"/>
        </w:rPr>
        <w:t>过管理系统的有效使用来</w:t>
      </w:r>
      <w:r>
        <w:rPr>
          <w:spacing w:val="-3"/>
        </w:rPr>
        <w:t>促进客户的环境和社会绩效的改善。</w:t>
      </w:r>
    </w:p>
    <w:p w14:paraId="6D8DE638">
      <w:pPr>
        <w:pStyle w:val="2"/>
        <w:spacing w:before="113" w:line="218" w:lineRule="auto"/>
        <w:ind w:left="3"/>
      </w:pPr>
      <w:r>
        <w:rPr>
          <w:b/>
          <w:bCs/>
          <w:spacing w:val="-3"/>
        </w:rPr>
        <w:t>2.0</w:t>
      </w:r>
      <w:r>
        <w:rPr>
          <w:spacing w:val="-3"/>
        </w:rPr>
        <w:t xml:space="preserve"> </w:t>
      </w:r>
      <w:r>
        <w:rPr>
          <w:b/>
          <w:bCs/>
          <w:spacing w:val="-3"/>
        </w:rPr>
        <w:t>环境和社会评估与管理政策</w:t>
      </w:r>
    </w:p>
    <w:p w14:paraId="365C301C">
      <w:pPr>
        <w:pStyle w:val="2"/>
        <w:spacing w:before="150"/>
        <w:ind w:left="1" w:right="552" w:firstLine="6"/>
        <w:jc w:val="both"/>
      </w:pPr>
      <w:r>
        <w:t>公司建立并推行环境管理体系、职业健康安</w:t>
      </w:r>
      <w:r>
        <w:rPr>
          <w:spacing w:val="-1"/>
        </w:rPr>
        <w:t>全管理体系以及社会责任管理体系，制订</w:t>
      </w:r>
      <w:r>
        <w:t>了环境、职业健康安全方针及社会责任方针，公司的管理</w:t>
      </w:r>
      <w:r>
        <w:rPr>
          <w:spacing w:val="-1"/>
        </w:rPr>
        <w:t>方针承诺遵守国家及地方环</w:t>
      </w:r>
      <w:r>
        <w:t>境、职业健康及人权方面法律法规，公司对新项目及现有</w:t>
      </w:r>
      <w:r>
        <w:rPr>
          <w:spacing w:val="-1"/>
        </w:rPr>
        <w:t>项目的重大变化进行环境和</w:t>
      </w:r>
      <w:r>
        <w:rPr>
          <w:spacing w:val="-2"/>
        </w:rPr>
        <w:t>社会影响评价，并采取措施对可能产生的不利影响进行控制。</w:t>
      </w:r>
    </w:p>
    <w:p w14:paraId="4ED929B6">
      <w:pPr>
        <w:pStyle w:val="2"/>
        <w:spacing w:before="117" w:line="219" w:lineRule="auto"/>
        <w:ind w:left="5"/>
      </w:pPr>
      <w:r>
        <w:rPr>
          <w:b/>
          <w:bCs/>
          <w:spacing w:val="-3"/>
        </w:rPr>
        <w:t>3.0</w:t>
      </w:r>
      <w:r>
        <w:rPr>
          <w:spacing w:val="-3"/>
        </w:rPr>
        <w:t xml:space="preserve"> </w:t>
      </w:r>
      <w:r>
        <w:rPr>
          <w:b/>
          <w:bCs/>
          <w:spacing w:val="-3"/>
        </w:rPr>
        <w:t>环境和社会影响识别</w:t>
      </w:r>
    </w:p>
    <w:p w14:paraId="417C2643">
      <w:pPr>
        <w:pStyle w:val="2"/>
        <w:spacing w:before="145" w:line="243" w:lineRule="auto"/>
        <w:ind w:right="552"/>
      </w:pPr>
      <w:r>
        <w:t>本公司的</w:t>
      </w:r>
      <w:r>
        <w:rPr>
          <w:rFonts w:hint="eastAsia"/>
        </w:rPr>
        <w:t>年产3000吨高精铝合金圆管生产线技改项目</w:t>
      </w:r>
      <w:r>
        <w:t>按法规要求进行了</w:t>
      </w:r>
      <w:r>
        <w:rPr>
          <w:spacing w:val="-1"/>
        </w:rPr>
        <w:t>环境和社会影响评价，主要</w:t>
      </w:r>
      <w:r>
        <w:rPr>
          <w:spacing w:val="-11"/>
        </w:rPr>
        <w:t>影响包括：</w:t>
      </w:r>
    </w:p>
    <w:p w14:paraId="5B69EBE6">
      <w:pPr>
        <w:pStyle w:val="2"/>
        <w:spacing w:before="112" w:line="218" w:lineRule="auto"/>
        <w:ind w:left="5"/>
      </w:pPr>
      <w:r>
        <w:rPr>
          <w:spacing w:val="-2"/>
        </w:rPr>
        <w:t>3.1 建设阶段（以下内容参照环评报告的内容）</w:t>
      </w:r>
    </w:p>
    <w:p w14:paraId="6C77E3AB">
      <w:pPr>
        <w:bidi w:val="0"/>
        <w:ind w:firstLine="420" w:firstLineChars="200"/>
      </w:pPr>
      <w:r>
        <w:t>废气：本技改项目</w:t>
      </w:r>
      <w:r>
        <w:rPr>
          <w:rFonts w:hint="eastAsia" w:hAnsi="宋体" w:cs="Times New Roman"/>
          <w:color w:val="000000" w:themeColor="text1"/>
          <w:sz w:val="24"/>
          <w:highlight w:val="none"/>
          <w:lang w:val="en-US" w:eastAsia="zh-CN"/>
          <w14:textFill>
            <w14:solidFill>
              <w14:schemeClr w14:val="tx1"/>
            </w14:solidFill>
          </w14:textFill>
        </w:rPr>
        <w:t>项目有组织废气主要为清洗过程中清洗剂挥发产生的非甲烷总烃，喷锌过程中产生的颗粒物，盘拉过程中挥发的油雾。</w:t>
      </w:r>
    </w:p>
    <w:p w14:paraId="139CB287">
      <w:pPr>
        <w:pStyle w:val="2"/>
        <w:spacing w:before="114" w:line="219" w:lineRule="auto"/>
      </w:pPr>
      <w:r>
        <w:rPr>
          <w:spacing w:val="-2"/>
        </w:rPr>
        <w:t>废水：本技改项目无新增生活污水产生及排放。</w:t>
      </w:r>
    </w:p>
    <w:p w14:paraId="402D8F72">
      <w:pPr>
        <w:pStyle w:val="2"/>
        <w:spacing w:before="144" w:line="242" w:lineRule="auto"/>
        <w:ind w:right="552" w:firstLine="21"/>
        <w:jc w:val="both"/>
      </w:pPr>
      <w:r>
        <w:rPr>
          <w:spacing w:val="-1"/>
        </w:rPr>
        <w:t>固体废物：本技改项目一般固体废物在厂区贮存过程应满足《一般固体废物分类与代</w:t>
      </w:r>
      <w:r>
        <w:t>码》以及《固体废物鉴别标准通则》相关要求，做好相应防渗</w:t>
      </w:r>
      <w:r>
        <w:rPr>
          <w:spacing w:val="-1"/>
        </w:rPr>
        <w:t>漏、防雨淋、防扬尘等</w:t>
      </w:r>
      <w:r>
        <w:rPr>
          <w:spacing w:val="-5"/>
        </w:rPr>
        <w:t>环境保护相关要求。</w:t>
      </w:r>
    </w:p>
    <w:p w14:paraId="3FBE71E2">
      <w:pPr>
        <w:pStyle w:val="2"/>
        <w:spacing w:before="110" w:line="242" w:lineRule="auto"/>
        <w:ind w:right="551" w:firstLine="11"/>
        <w:jc w:val="both"/>
      </w:pPr>
      <w:r>
        <w:rPr>
          <w:spacing w:val="-1"/>
        </w:rPr>
        <w:t>噪声：根据原项目环评报告及批复，</w:t>
      </w:r>
      <w:r>
        <w:rPr>
          <w:rFonts w:hint="eastAsia"/>
          <w:spacing w:val="-1"/>
          <w:lang w:val="en-US" w:eastAsia="zh-CN"/>
        </w:rPr>
        <w:t>厂界</w:t>
      </w:r>
      <w:r>
        <w:rPr>
          <w:rFonts w:hint="eastAsia"/>
          <w:color w:val="000000" w:themeColor="text1"/>
          <w:lang w:val="en-US" w:eastAsia="zh-CN"/>
          <w14:textFill>
            <w14:solidFill>
              <w14:schemeClr w14:val="tx1"/>
            </w14:solidFill>
          </w14:textFill>
        </w:rPr>
        <w:t>南侧、西南和西侧厂界昼夜噪声执行《工业企业厂界环境噪声排放标准》（GB12348-2008）4类标准要求，北侧和东侧厂界昼夜噪声执行《工业企业厂界环境噪声排放标准》（GB12348-2008）3类标准要求。</w:t>
      </w:r>
    </w:p>
    <w:p w14:paraId="6567D748">
      <w:pPr>
        <w:pStyle w:val="2"/>
        <w:spacing w:before="110" w:line="220" w:lineRule="auto"/>
        <w:ind w:left="2"/>
      </w:pPr>
      <w:r>
        <w:rPr>
          <w:spacing w:val="-2"/>
        </w:rPr>
        <w:t>生物多样性：无</w:t>
      </w:r>
    </w:p>
    <w:p w14:paraId="392BD3AB">
      <w:pPr>
        <w:pStyle w:val="2"/>
        <w:spacing w:before="146" w:line="220" w:lineRule="auto"/>
        <w:ind w:left="1"/>
      </w:pPr>
      <w:r>
        <w:rPr>
          <w:spacing w:val="-2"/>
        </w:rPr>
        <w:t>土地使用：无</w:t>
      </w:r>
    </w:p>
    <w:p w14:paraId="0A8F5E81">
      <w:pPr>
        <w:pStyle w:val="2"/>
        <w:spacing w:before="146" w:line="220" w:lineRule="auto"/>
        <w:ind w:left="16"/>
        <w:rPr>
          <w:spacing w:val="-3"/>
        </w:rPr>
      </w:pPr>
      <w:r>
        <w:rPr>
          <w:spacing w:val="-3"/>
        </w:rPr>
        <w:t>当地社区：无影响</w:t>
      </w:r>
    </w:p>
    <w:p w14:paraId="021FB246">
      <w:pPr>
        <w:pStyle w:val="2"/>
        <w:spacing w:before="146" w:line="220" w:lineRule="auto"/>
        <w:ind w:left="16"/>
        <w:rPr>
          <w:rFonts w:hint="eastAsia"/>
          <w:spacing w:val="-3"/>
          <w:lang w:val="en-US" w:eastAsia="zh-CN"/>
        </w:rPr>
      </w:pPr>
      <w:r>
        <w:rPr>
          <w:rFonts w:hint="eastAsia"/>
          <w:spacing w:val="-3"/>
          <w:lang w:val="en-US" w:eastAsia="zh-CN"/>
        </w:rPr>
        <w:t>3.2  验收计划</w:t>
      </w:r>
    </w:p>
    <w:p w14:paraId="1566A4BE">
      <w:pPr>
        <w:pStyle w:val="2"/>
        <w:spacing w:before="146" w:line="220" w:lineRule="auto"/>
        <w:ind w:left="16"/>
        <w:rPr>
          <w:rFonts w:hint="default"/>
          <w:spacing w:val="-3"/>
          <w:lang w:val="en-US" w:eastAsia="zh-CN"/>
        </w:rPr>
      </w:pPr>
      <w:r>
        <w:rPr>
          <w:rFonts w:hint="eastAsia"/>
          <w:spacing w:val="-3"/>
          <w:lang w:val="en-US" w:eastAsia="zh-CN"/>
        </w:rPr>
        <w:t>项目目前处于试运行及调试阶段，预计2027年6月前完成项目验收工作。</w:t>
      </w:r>
    </w:p>
    <w:p w14:paraId="6C6ECD4A">
      <w:pPr>
        <w:pStyle w:val="2"/>
        <w:spacing w:before="144" w:line="219" w:lineRule="auto"/>
      </w:pPr>
      <w:r>
        <w:rPr>
          <w:b/>
          <w:bCs/>
          <w:spacing w:val="-3"/>
        </w:rPr>
        <w:t>4.0</w:t>
      </w:r>
      <w:r>
        <w:rPr>
          <w:spacing w:val="-3"/>
        </w:rPr>
        <w:t xml:space="preserve"> </w:t>
      </w:r>
      <w:r>
        <w:rPr>
          <w:b/>
          <w:bCs/>
          <w:spacing w:val="-3"/>
        </w:rPr>
        <w:t>环境和社会影响管理方案</w:t>
      </w:r>
    </w:p>
    <w:p w14:paraId="07634095">
      <w:pPr>
        <w:pStyle w:val="2"/>
        <w:spacing w:before="149" w:line="220" w:lineRule="auto"/>
      </w:pPr>
      <w:r>
        <w:rPr>
          <w:spacing w:val="-2"/>
        </w:rPr>
        <w:t>4.1</w:t>
      </w:r>
      <w:r>
        <w:rPr>
          <w:spacing w:val="-50"/>
        </w:rPr>
        <w:t xml:space="preserve"> </w:t>
      </w:r>
      <w:r>
        <w:rPr>
          <w:spacing w:val="-2"/>
        </w:rPr>
        <w:t>运行控制措施</w:t>
      </w:r>
    </w:p>
    <w:p w14:paraId="15A51740">
      <w:pPr>
        <w:pStyle w:val="2"/>
        <w:spacing w:before="145"/>
        <w:ind w:left="5" w:hanging="5"/>
        <w:rPr>
          <w:rFonts w:hint="eastAsia"/>
          <w:spacing w:val="2"/>
          <w:lang w:val="en-US" w:eastAsia="zh-CN"/>
        </w:rPr>
      </w:pPr>
      <w:r>
        <w:rPr>
          <w:spacing w:val="2"/>
        </w:rPr>
        <w:t>废气：配套</w:t>
      </w:r>
      <w:r>
        <w:rPr>
          <w:rFonts w:hint="eastAsia"/>
          <w:spacing w:val="2"/>
          <w:lang w:val="en-US" w:eastAsia="zh-CN"/>
        </w:rPr>
        <w:t>二级活性炭吸收装置、</w:t>
      </w:r>
      <w:r>
        <w:rPr>
          <w:rFonts w:hint="eastAsia" w:hAnsi="宋体" w:cs="Times New Roman"/>
          <w:color w:val="000000" w:themeColor="text1"/>
          <w:kern w:val="0"/>
          <w:sz w:val="24"/>
          <w:szCs w:val="20"/>
          <w:highlight w:val="none"/>
          <w:lang w:val="en-US" w:eastAsia="zh-CN" w:bidi="ar-SA"/>
          <w14:textFill>
            <w14:solidFill>
              <w14:schemeClr w14:val="tx1"/>
            </w14:solidFill>
          </w14:textFill>
        </w:rPr>
        <w:t>高压电场工业油雾净化机、</w:t>
      </w:r>
      <w:r>
        <w:rPr>
          <w:rFonts w:hint="eastAsia"/>
          <w:color w:val="000000" w:themeColor="text1"/>
          <w:lang w:val="en-US" w:eastAsia="zh-CN"/>
          <w14:textFill>
            <w14:solidFill>
              <w14:schemeClr w14:val="tx1"/>
            </w14:solidFill>
          </w14:textFill>
        </w:rPr>
        <w:t>屋脊式锌粉分选器+旋风分选回收器+布袋除尘器各一套</w:t>
      </w:r>
      <w:r>
        <w:rPr>
          <w:rFonts w:hint="eastAsia"/>
          <w:spacing w:val="2"/>
          <w:lang w:val="en-US" w:eastAsia="zh-CN"/>
        </w:rPr>
        <w:t>，处理达标后排放。</w:t>
      </w:r>
    </w:p>
    <w:p w14:paraId="0A237A15">
      <w:pPr>
        <w:pStyle w:val="2"/>
        <w:spacing w:before="118" w:line="219" w:lineRule="auto"/>
      </w:pPr>
      <w:r>
        <w:rPr>
          <w:spacing w:val="-2"/>
        </w:rPr>
        <w:t>废水：本技改项目无新增生活污水产生及排放。</w:t>
      </w:r>
    </w:p>
    <w:p w14:paraId="3347B5C4">
      <w:pPr>
        <w:pStyle w:val="6"/>
        <w:jc w:val="both"/>
        <w:rPr>
          <w:rFonts w:hint="eastAsia" w:ascii="Times New Roman" w:hAnsi="Times New Roman" w:eastAsia="Times New Roman" w:cs="Times New Roman"/>
          <w:snapToGrid w:val="0"/>
          <w:color w:val="000000" w:themeColor="text1"/>
          <w:kern w:val="2"/>
          <w:sz w:val="24"/>
          <w:szCs w:val="24"/>
          <w:highlight w:val="none"/>
          <w:lang w:val="en-US" w:eastAsia="zh-CN" w:bidi="ar-SA"/>
          <w14:textFill>
            <w14:solidFill>
              <w14:schemeClr w14:val="tx1"/>
            </w14:solidFill>
          </w14:textFill>
        </w:rPr>
      </w:pPr>
      <w:r>
        <w:rPr>
          <w:spacing w:val="-2"/>
        </w:rPr>
        <w:t>固体废物：</w:t>
      </w:r>
      <w:r>
        <w:rPr>
          <w:rFonts w:hint="eastAsia" w:ascii="Times New Roman" w:hAnsi="Times New Roman" w:eastAsia="Times New Roman" w:cs="Times New Roman"/>
          <w:snapToGrid w:val="0"/>
          <w:color w:val="000000" w:themeColor="text1"/>
          <w:kern w:val="2"/>
          <w:sz w:val="24"/>
          <w:szCs w:val="24"/>
          <w:highlight w:val="none"/>
          <w:lang w:val="en-US" w:eastAsia="zh-CN" w:bidi="ar-SA"/>
          <w14:textFill>
            <w14:solidFill>
              <w14:schemeClr w14:val="tx1"/>
            </w14:solidFill>
          </w14:textFill>
        </w:rPr>
        <w:t>本项目</w:t>
      </w:r>
      <w:r>
        <w:rPr>
          <w:rFonts w:hint="default" w:ascii="Times New Roman" w:hAnsi="Times New Roman" w:eastAsia="Times New Roman" w:cs="Times New Roman"/>
          <w:snapToGrid w:val="0"/>
          <w:color w:val="000000" w:themeColor="text1"/>
          <w:kern w:val="2"/>
          <w:sz w:val="24"/>
          <w:szCs w:val="24"/>
          <w:highlight w:val="none"/>
          <w:lang w:val="en-US" w:eastAsia="zh-CN" w:bidi="ar-SA"/>
          <w14:textFill>
            <w14:solidFill>
              <w14:schemeClr w14:val="tx1"/>
            </w14:solidFill>
          </w14:textFill>
        </w:rPr>
        <w:t>主要产生的一般固体废物（</w:t>
      </w:r>
      <w:r>
        <w:rPr>
          <w:rFonts w:hint="eastAsia" w:ascii="Times New Roman" w:hAnsi="Times New Roman" w:eastAsia="Times New Roman" w:cs="Times New Roman"/>
          <w:snapToGrid w:val="0"/>
          <w:color w:val="000000" w:themeColor="text1"/>
          <w:kern w:val="2"/>
          <w:sz w:val="24"/>
          <w:szCs w:val="24"/>
          <w:highlight w:val="none"/>
          <w:lang w:val="en-US" w:eastAsia="zh-CN" w:bidi="ar-SA"/>
          <w14:textFill>
            <w14:solidFill>
              <w14:schemeClr w14:val="tx1"/>
            </w14:solidFill>
          </w14:textFill>
        </w:rPr>
        <w:t>废边角料</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、不合格品</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、含锌</w:t>
      </w:r>
      <w:r>
        <w:rPr>
          <w:rFonts w:hint="eastAsia" w:ascii="Times New Roman" w:hAnsi="Times New Roman" w:eastAsia="Times New Roman" w:cs="Times New Roman"/>
          <w:snapToGrid w:val="0"/>
          <w:color w:val="000000" w:themeColor="text1"/>
          <w:kern w:val="2"/>
          <w:sz w:val="24"/>
          <w:szCs w:val="24"/>
          <w:highlight w:val="none"/>
          <w:lang w:val="en-US" w:eastAsia="zh-CN" w:bidi="ar-SA"/>
          <w14:textFill>
            <w14:solidFill>
              <w14:schemeClr w14:val="tx1"/>
            </w14:solidFill>
          </w14:textFill>
        </w:rPr>
        <w:t>除尘灰</w:t>
      </w:r>
      <w:r>
        <w:rPr>
          <w:rFonts w:hint="default" w:ascii="Times New Roman" w:hAnsi="Times New Roman" w:eastAsia="Times New Roman" w:cs="Times New Roman"/>
          <w:snapToGrid w:val="0"/>
          <w:color w:val="000000" w:themeColor="text1"/>
          <w:kern w:val="2"/>
          <w:sz w:val="24"/>
          <w:szCs w:val="24"/>
          <w:highlight w:val="none"/>
          <w:lang w:val="en-US" w:eastAsia="zh-CN" w:bidi="ar-SA"/>
          <w14:textFill>
            <w14:solidFill>
              <w14:schemeClr w14:val="tx1"/>
            </w14:solidFill>
          </w14:textFill>
        </w:rPr>
        <w:t>）、危险废物（</w:t>
      </w:r>
      <w:r>
        <w:rPr>
          <w:rFonts w:hint="eastAsia" w:eastAsia="Times New Roman" w:cs="Times New Roman"/>
          <w:snapToGrid w:val="0"/>
          <w:color w:val="000000" w:themeColor="text1"/>
          <w:kern w:val="2"/>
          <w:sz w:val="24"/>
          <w:szCs w:val="24"/>
          <w:highlight w:val="none"/>
          <w:lang w:val="en-US" w:eastAsia="zh-CN" w:bidi="ar-SA"/>
          <w14:textFill>
            <w14:solidFill>
              <w14:schemeClr w14:val="tx1"/>
            </w14:solidFill>
          </w14:textFill>
        </w:rPr>
        <w:t>废润滑油、</w:t>
      </w:r>
      <w:r>
        <w:rPr>
          <w:rFonts w:hint="eastAsia"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废清洗剂</w:t>
      </w:r>
      <w:r>
        <w:rPr>
          <w:rFonts w:hint="eastAsia" w:ascii="Times New Roman" w:hAnsi="Times New Roman" w:eastAsia="Times New Roman" w:cs="Times New Roman"/>
          <w:snapToGrid w:val="0"/>
          <w:color w:val="000000" w:themeColor="text1"/>
          <w:kern w:val="2"/>
          <w:sz w:val="24"/>
          <w:szCs w:val="24"/>
          <w:highlight w:val="none"/>
          <w:lang w:val="en-US" w:eastAsia="zh-CN" w:bidi="ar-SA"/>
          <w14:textFill>
            <w14:solidFill>
              <w14:schemeClr w14:val="tx1"/>
            </w14:solidFill>
          </w14:textFill>
        </w:rPr>
        <w:t>、废活性炭、</w:t>
      </w:r>
      <w:r>
        <w:rPr>
          <w:rFonts w:hint="eastAsia"/>
          <w:color w:val="000000" w:themeColor="text1"/>
          <w:highlight w:val="none"/>
          <w:lang w:val="en-US" w:eastAsia="zh-CN"/>
          <w14:textFill>
            <w14:solidFill>
              <w14:schemeClr w14:val="tx1"/>
            </w14:solidFill>
          </w14:textFill>
        </w:rPr>
        <w:t>废清洗液</w:t>
      </w:r>
      <w:r>
        <w:rPr>
          <w:rFonts w:hint="default" w:ascii="Times New Roman" w:hAnsi="Times New Roman" w:eastAsia="Times New Roman" w:cs="Times New Roman"/>
          <w:snapToGrid w:val="0"/>
          <w:color w:val="000000" w:themeColor="text1"/>
          <w:kern w:val="2"/>
          <w:sz w:val="24"/>
          <w:szCs w:val="24"/>
          <w:highlight w:val="none"/>
          <w:lang w:val="en-US" w:eastAsia="zh-CN" w:bidi="ar-SA"/>
          <w14:textFill>
            <w14:solidFill>
              <w14:schemeClr w14:val="tx1"/>
            </w14:solidFill>
          </w14:textFill>
        </w:rPr>
        <w:t>）和生活垃圾。</w:t>
      </w:r>
      <w:r>
        <w:rPr>
          <w:rFonts w:hint="eastAsia" w:ascii="Times New Roman" w:hAnsi="Times New Roman" w:eastAsia="Times New Roman" w:cs="Times New Roman"/>
          <w:snapToGrid w:val="0"/>
          <w:color w:val="000000" w:themeColor="text1"/>
          <w:kern w:val="2"/>
          <w:sz w:val="24"/>
          <w:szCs w:val="24"/>
          <w:highlight w:val="none"/>
          <w:lang w:val="en-US" w:eastAsia="zh-CN" w:bidi="ar-SA"/>
          <w14:textFill>
            <w14:solidFill>
              <w14:schemeClr w14:val="tx1"/>
            </w14:solidFill>
          </w14:textFill>
        </w:rPr>
        <w:t>一般固废和危险废物均依托南铝厂内现有一般固废贮存间和危险废物贮存间贮存。本项目一般固废产生量为330.56t/a，废边角料</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、不合格品</w:t>
      </w:r>
      <w:r>
        <w:rPr>
          <w:rFonts w:hint="eastAsia" w:ascii="Times New Roman" w:hAnsi="Times New Roman" w:eastAsia="Times New Roman" w:cs="Times New Roman"/>
          <w:snapToGrid w:val="0"/>
          <w:color w:val="000000" w:themeColor="text1"/>
          <w:kern w:val="2"/>
          <w:sz w:val="24"/>
          <w:szCs w:val="24"/>
          <w:highlight w:val="none"/>
          <w:lang w:val="en-US" w:eastAsia="zh-CN" w:bidi="ar-SA"/>
          <w14:textFill>
            <w14:solidFill>
              <w14:schemeClr w14:val="tx1"/>
            </w14:solidFill>
          </w14:textFill>
        </w:rPr>
        <w:t>收集后返回熔炼炉处置，含锌除尘灰委托锌条原料厂家回收。厂内现有一般固废贮存间可满足项目储存需求。危险废物贮存于危废贮存间，项目固体危废产生量为15.21t/a。废润滑油、废清洗剂、废清洗液、</w:t>
      </w:r>
      <w:r>
        <w:rPr>
          <w:rFonts w:hint="default" w:ascii="Times New Roman" w:hAnsi="Times New Roman" w:eastAsia="Times New Roman" w:cs="Times New Roman"/>
          <w:snapToGrid w:val="0"/>
          <w:color w:val="000000" w:themeColor="text1"/>
          <w:kern w:val="2"/>
          <w:sz w:val="24"/>
          <w:szCs w:val="24"/>
          <w:highlight w:val="none"/>
          <w:lang w:val="en-US" w:eastAsia="zh-CN" w:bidi="ar-SA"/>
          <w14:textFill>
            <w14:solidFill>
              <w14:schemeClr w14:val="tx1"/>
            </w14:solidFill>
          </w14:textFill>
        </w:rPr>
        <w:t>废活性炭</w:t>
      </w:r>
      <w:r>
        <w:rPr>
          <w:rFonts w:hint="eastAsia" w:ascii="Times New Roman" w:hAnsi="Times New Roman" w:eastAsia="Times New Roman" w:cs="Times New Roman"/>
          <w:snapToGrid w:val="0"/>
          <w:color w:val="000000" w:themeColor="text1"/>
          <w:kern w:val="2"/>
          <w:sz w:val="24"/>
          <w:szCs w:val="24"/>
          <w:highlight w:val="none"/>
          <w:lang w:val="en-US" w:eastAsia="zh-CN" w:bidi="ar-SA"/>
          <w14:textFill>
            <w14:solidFill>
              <w14:schemeClr w14:val="tx1"/>
            </w14:solidFill>
          </w14:textFill>
        </w:rPr>
        <w:t>委托有资质单位处置。现有危废贮存间可满足本项目储存需求</w:t>
      </w:r>
    </w:p>
    <w:p w14:paraId="6732566E">
      <w:pPr>
        <w:pStyle w:val="6"/>
        <w:jc w:val="both"/>
        <w:rPr>
          <w:rFonts w:hint="eastAsia" w:cs="Times New Roman"/>
          <w:color w:val="000000" w:themeColor="text1"/>
          <w:sz w:val="24"/>
          <w:szCs w:val="22"/>
          <w:highlight w:val="none"/>
          <w:lang w:val="en-US" w:eastAsia="zh-CN"/>
          <w14:textFill>
            <w14:solidFill>
              <w14:schemeClr w14:val="tx1"/>
            </w14:solidFill>
          </w14:textFill>
        </w:rPr>
      </w:pPr>
      <w:r>
        <w:rPr>
          <w:spacing w:val="-1"/>
        </w:rPr>
        <w:t>噪声：</w:t>
      </w:r>
      <w:r>
        <w:rPr>
          <w:rFonts w:hint="default" w:ascii="Times New Roman" w:hAnsi="Times New Roman" w:cs="Times New Roman"/>
          <w:color w:val="000000" w:themeColor="text1"/>
          <w:sz w:val="24"/>
          <w:szCs w:val="24"/>
          <w:highlight w:val="none"/>
          <w14:textFill>
            <w14:solidFill>
              <w14:schemeClr w14:val="tx1"/>
            </w14:solidFill>
          </w14:textFill>
        </w:rPr>
        <w:t>项目</w:t>
      </w:r>
      <w:r>
        <w:rPr>
          <w:rFonts w:hint="default" w:ascii="Times New Roman" w:hAnsi="Times New Roman" w:cs="Times New Roman"/>
          <w:color w:val="000000" w:themeColor="text1"/>
          <w:sz w:val="24"/>
          <w:szCs w:val="24"/>
          <w:highlight w:val="none"/>
          <w:lang w:eastAsia="zh-CN"/>
          <w14:textFill>
            <w14:solidFill>
              <w14:schemeClr w14:val="tx1"/>
            </w14:solidFill>
          </w14:textFill>
        </w:rPr>
        <w:t>生产</w:t>
      </w:r>
      <w:r>
        <w:rPr>
          <w:rFonts w:hint="default" w:ascii="Times New Roman" w:hAnsi="Times New Roman" w:cs="Times New Roman"/>
          <w:color w:val="000000" w:themeColor="text1"/>
          <w:sz w:val="24"/>
          <w:szCs w:val="24"/>
          <w:highlight w:val="none"/>
          <w14:textFill>
            <w14:solidFill>
              <w14:schemeClr w14:val="tx1"/>
            </w14:solidFill>
          </w14:textFill>
        </w:rPr>
        <w:t>噪声经</w:t>
      </w:r>
      <w:r>
        <w:rPr>
          <w:rFonts w:hint="default" w:ascii="Times New Roman" w:hAnsi="Times New Roman" w:cs="Times New Roman"/>
          <w:color w:val="000000" w:themeColor="text1"/>
          <w:sz w:val="24"/>
          <w:szCs w:val="24"/>
          <w:highlight w:val="none"/>
          <w:lang w:eastAsia="zh-CN"/>
          <w14:textFill>
            <w14:solidFill>
              <w14:schemeClr w14:val="tx1"/>
            </w14:solidFill>
          </w14:textFill>
        </w:rPr>
        <w:t>减振、</w:t>
      </w:r>
      <w:r>
        <w:rPr>
          <w:rFonts w:hint="default" w:ascii="Times New Roman" w:hAnsi="Times New Roman" w:cs="Times New Roman"/>
          <w:color w:val="000000" w:themeColor="text1"/>
          <w:sz w:val="24"/>
          <w:szCs w:val="24"/>
          <w:highlight w:val="none"/>
          <w14:textFill>
            <w14:solidFill>
              <w14:schemeClr w14:val="tx1"/>
            </w14:solidFill>
          </w14:textFill>
        </w:rPr>
        <w:t>厂房隔声、距离衰减后，</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南侧</w:t>
      </w:r>
      <w:r>
        <w:rPr>
          <w:rFonts w:hint="default" w:ascii="Times New Roman" w:hAnsi="Times New Roman" w:cs="Times New Roman"/>
          <w:color w:val="000000" w:themeColor="text1"/>
          <w:sz w:val="24"/>
          <w:szCs w:val="24"/>
          <w:highlight w:val="none"/>
          <w:lang w:eastAsia="zh-CN"/>
          <w14:textFill>
            <w14:solidFill>
              <w14:schemeClr w14:val="tx1"/>
            </w14:solidFill>
          </w14:textFill>
        </w:rPr>
        <w:t>厂界</w:t>
      </w:r>
      <w:r>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t>昼、夜间噪声可达到《工业企业厂界环境噪声排放标准》</w:t>
      </w:r>
      <w:r>
        <w:rPr>
          <w:rFonts w:hint="eastAsia" w:ascii="Times New Roman" w:hAnsi="Times New Roman" w:eastAsia="宋体" w:cs="Times New Roman"/>
          <w:color w:val="000000" w:themeColor="text1"/>
          <w:sz w:val="24"/>
          <w:szCs w:val="22"/>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t>GB12348-2008</w:t>
      </w:r>
      <w:r>
        <w:rPr>
          <w:rFonts w:hint="eastAsia" w:ascii="Times New Roman" w:hAnsi="Times New Roman" w:eastAsia="宋体" w:cs="Times New Roman"/>
          <w:color w:val="000000" w:themeColor="text1"/>
          <w:sz w:val="24"/>
          <w:szCs w:val="22"/>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t>中的</w:t>
      </w:r>
      <w:r>
        <w:rPr>
          <w:rFonts w:hint="eastAsia" w:ascii="Times New Roman" w:hAnsi="Times New Roman" w:cs="Times New Roman"/>
          <w:color w:val="000000" w:themeColor="text1"/>
          <w:sz w:val="24"/>
          <w:szCs w:val="22"/>
          <w:highlight w:val="none"/>
          <w:lang w:val="en-US" w:eastAsia="zh-CN"/>
          <w14:textFill>
            <w14:solidFill>
              <w14:schemeClr w14:val="tx1"/>
            </w14:solidFill>
          </w14:textFill>
        </w:rPr>
        <w:t>4</w:t>
      </w:r>
      <w:r>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t>类标准（昼间≤</w:t>
      </w:r>
      <w:r>
        <w:rPr>
          <w:rFonts w:hint="eastAsia" w:ascii="Times New Roman" w:hAnsi="Times New Roman" w:eastAsia="宋体" w:cs="Times New Roman"/>
          <w:color w:val="000000" w:themeColor="text1"/>
          <w:sz w:val="24"/>
          <w:szCs w:val="22"/>
          <w:highlight w:val="none"/>
          <w:lang w:val="en-US" w:eastAsia="zh-CN"/>
          <w14:textFill>
            <w14:solidFill>
              <w14:schemeClr w14:val="tx1"/>
            </w14:solidFill>
          </w14:textFill>
        </w:rPr>
        <w:t>70</w:t>
      </w:r>
      <w:r>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t>dB(A)，夜间≤5</w:t>
      </w:r>
      <w:r>
        <w:rPr>
          <w:rFonts w:hint="default" w:ascii="Times New Roman" w:hAnsi="Times New Roman" w:cs="Times New Roman"/>
          <w:color w:val="000000" w:themeColor="text1"/>
          <w:sz w:val="24"/>
          <w:szCs w:val="22"/>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t>dB(A)）</w:t>
      </w:r>
      <w:r>
        <w:rPr>
          <w:rFonts w:hint="eastAsia" w:cs="Times New Roman"/>
          <w:color w:val="000000" w:themeColor="text1"/>
          <w:sz w:val="24"/>
          <w:szCs w:val="22"/>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东侧、西侧</w:t>
      </w:r>
      <w:r>
        <w:rPr>
          <w:rFonts w:hint="eastAsia" w:ascii="Times New Roman" w:hAnsi="Times New Roman" w:cs="Times New Roman"/>
          <w:color w:val="000000" w:themeColor="text1"/>
          <w:sz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北侧</w:t>
      </w:r>
      <w:r>
        <w:rPr>
          <w:rFonts w:hint="default" w:ascii="Times New Roman" w:hAnsi="Times New Roman" w:cs="Times New Roman"/>
          <w:color w:val="000000" w:themeColor="text1"/>
          <w:sz w:val="24"/>
          <w:szCs w:val="24"/>
          <w:highlight w:val="none"/>
          <w:lang w:eastAsia="zh-CN"/>
          <w14:textFill>
            <w14:solidFill>
              <w14:schemeClr w14:val="tx1"/>
            </w14:solidFill>
          </w14:textFill>
        </w:rPr>
        <w:t>厂界</w:t>
      </w:r>
      <w:r>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t>昼、夜间噪声可达到《工业企业厂界环境噪声排放标准》</w:t>
      </w:r>
      <w:r>
        <w:rPr>
          <w:rFonts w:hint="eastAsia" w:ascii="Times New Roman" w:hAnsi="Times New Roman" w:eastAsia="宋体" w:cs="Times New Roman"/>
          <w:color w:val="000000" w:themeColor="text1"/>
          <w:sz w:val="24"/>
          <w:szCs w:val="22"/>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t>GB12348-2008</w:t>
      </w:r>
      <w:r>
        <w:rPr>
          <w:rFonts w:hint="eastAsia" w:ascii="Times New Roman" w:hAnsi="Times New Roman" w:eastAsia="宋体" w:cs="Times New Roman"/>
          <w:color w:val="000000" w:themeColor="text1"/>
          <w:sz w:val="24"/>
          <w:szCs w:val="22"/>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t>中的</w:t>
      </w:r>
      <w:r>
        <w:rPr>
          <w:rFonts w:hint="default" w:ascii="Times New Roman" w:hAnsi="Times New Roman" w:cs="Times New Roman"/>
          <w:color w:val="000000" w:themeColor="text1"/>
          <w:sz w:val="24"/>
          <w:szCs w:val="22"/>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t>类标准（昼间≤65dB(A)，夜间≤5</w:t>
      </w:r>
      <w:r>
        <w:rPr>
          <w:rFonts w:hint="default" w:ascii="Times New Roman" w:hAnsi="Times New Roman" w:cs="Times New Roman"/>
          <w:color w:val="000000" w:themeColor="text1"/>
          <w:sz w:val="24"/>
          <w:szCs w:val="22"/>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t>dB(A)）</w:t>
      </w:r>
      <w:r>
        <w:rPr>
          <w:rFonts w:hint="eastAsia" w:cs="Times New Roman"/>
          <w:color w:val="000000" w:themeColor="text1"/>
          <w:sz w:val="24"/>
          <w:szCs w:val="22"/>
          <w:highlight w:val="none"/>
          <w:lang w:val="en-US" w:eastAsia="zh-CN"/>
          <w14:textFill>
            <w14:solidFill>
              <w14:schemeClr w14:val="tx1"/>
            </w14:solidFill>
          </w14:textFill>
        </w:rPr>
        <w:t>。</w:t>
      </w:r>
    </w:p>
    <w:p w14:paraId="55DBA80E">
      <w:pPr>
        <w:pStyle w:val="2"/>
        <w:spacing w:before="46" w:line="241" w:lineRule="auto"/>
        <w:ind w:left="1" w:right="336" w:firstLine="10"/>
        <w:jc w:val="both"/>
        <w:rPr>
          <w:rFonts w:hint="eastAsia" w:cs="Times New Roman"/>
          <w:color w:val="000000" w:themeColor="text1"/>
          <w:sz w:val="24"/>
          <w:szCs w:val="22"/>
          <w:highlight w:val="none"/>
          <w:lang w:val="en-US" w:eastAsia="zh-CN"/>
          <w14:textFill>
            <w14:solidFill>
              <w14:schemeClr w14:val="tx1"/>
            </w14:solidFill>
          </w14:textFill>
        </w:rPr>
      </w:pPr>
    </w:p>
    <w:p w14:paraId="47BCFC09">
      <w:pPr>
        <w:pStyle w:val="2"/>
        <w:spacing w:before="78" w:line="220" w:lineRule="auto"/>
        <w:ind w:left="2"/>
      </w:pPr>
      <w:r>
        <w:rPr>
          <w:spacing w:val="-4"/>
        </w:rPr>
        <w:t>生物多样性：对周围</w:t>
      </w:r>
      <w:r>
        <w:rPr>
          <w:spacing w:val="-35"/>
        </w:rPr>
        <w:t xml:space="preserve"> </w:t>
      </w:r>
      <w:r>
        <w:rPr>
          <w:spacing w:val="-4"/>
        </w:rPr>
        <w:t>500</w:t>
      </w:r>
      <w:r>
        <w:rPr>
          <w:spacing w:val="-50"/>
        </w:rPr>
        <w:t xml:space="preserve"> </w:t>
      </w:r>
      <w:r>
        <w:rPr>
          <w:spacing w:val="-4"/>
        </w:rPr>
        <w:t>米生物无影响。</w:t>
      </w:r>
    </w:p>
    <w:p w14:paraId="2FB684E0">
      <w:pPr>
        <w:pStyle w:val="2"/>
        <w:spacing w:before="146" w:line="241" w:lineRule="auto"/>
        <w:ind w:left="1" w:right="397"/>
      </w:pPr>
      <w:r>
        <w:t>土地使用：本技改项目位于</w:t>
      </w:r>
      <w:r>
        <w:rPr>
          <w:rFonts w:hint="eastAsia"/>
          <w:lang w:val="en-US" w:eastAsia="zh-CN"/>
        </w:rPr>
        <w:t>南平工业园区</w:t>
      </w:r>
      <w:r>
        <w:t>内，项目用</w:t>
      </w:r>
      <w:r>
        <w:rPr>
          <w:spacing w:val="-1"/>
        </w:rPr>
        <w:t>地性质为工业用地，用地不</w:t>
      </w:r>
      <w:r>
        <w:rPr>
          <w:spacing w:val="-7"/>
        </w:rPr>
        <w:t>涉及农用地。</w:t>
      </w:r>
    </w:p>
    <w:p w14:paraId="20940A3B">
      <w:pPr>
        <w:pStyle w:val="2"/>
        <w:spacing w:before="114" w:line="219" w:lineRule="auto"/>
        <w:ind w:left="16"/>
      </w:pPr>
      <w:r>
        <w:rPr>
          <w:spacing w:val="-4"/>
        </w:rPr>
        <w:t>当地社区：本技改项目不涉及。</w:t>
      </w:r>
    </w:p>
    <w:p w14:paraId="3E6DFA0E">
      <w:pPr>
        <w:pStyle w:val="2"/>
        <w:spacing w:before="148"/>
        <w:ind w:left="3" w:hanging="3"/>
      </w:pPr>
      <w:r>
        <w:rPr>
          <w:spacing w:val="-1"/>
        </w:rPr>
        <w:t>4.2</w:t>
      </w:r>
      <w:r>
        <w:rPr>
          <w:spacing w:val="-39"/>
        </w:rPr>
        <w:t xml:space="preserve"> </w:t>
      </w:r>
      <w:r>
        <w:rPr>
          <w:spacing w:val="-1"/>
        </w:rPr>
        <w:t>环境方面，安环部每月进行对厂区及周边进行例行检</w:t>
      </w:r>
      <w:r>
        <w:rPr>
          <w:spacing w:val="-2"/>
        </w:rPr>
        <w:t>查，预防出现任何环保的事件。</w:t>
      </w:r>
      <w:r>
        <w:rPr>
          <w:spacing w:val="-1"/>
        </w:rPr>
        <w:t>各部门负责组织进行自检，对生产工艺、物料、环保设备进行</w:t>
      </w:r>
      <w:r>
        <w:rPr>
          <w:spacing w:val="-2"/>
        </w:rPr>
        <w:t>检查，确保运行正常。</w:t>
      </w:r>
    </w:p>
    <w:p w14:paraId="4FFF9ADD">
      <w:pPr>
        <w:pStyle w:val="2"/>
        <w:spacing w:before="116" w:line="241" w:lineRule="auto"/>
        <w:ind w:left="1" w:right="397" w:firstLine="6"/>
        <w:jc w:val="both"/>
      </w:pPr>
      <w:r>
        <w:t>公司定期聘请第三方机构对废气、废水及厂</w:t>
      </w:r>
      <w:r>
        <w:rPr>
          <w:spacing w:val="-1"/>
        </w:rPr>
        <w:t>界噪音进行监测，确保其排放符合法规要</w:t>
      </w:r>
      <w:r>
        <w:t>求。公司制订了废弃物管理规定，对一般工业固体废物进</w:t>
      </w:r>
      <w:r>
        <w:rPr>
          <w:spacing w:val="-1"/>
        </w:rPr>
        <w:t>行分类，确保资源化、减量</w:t>
      </w:r>
      <w:r>
        <w:t>化及循环利用。对危险废物进行专项管理，制订管理计划</w:t>
      </w:r>
      <w:r>
        <w:rPr>
          <w:spacing w:val="-1"/>
        </w:rPr>
        <w:t>、存放在专用仓库内，定期</w:t>
      </w:r>
      <w:r>
        <w:rPr>
          <w:spacing w:val="-5"/>
        </w:rPr>
        <w:t>交给有资质单位处理。</w:t>
      </w:r>
    </w:p>
    <w:p w14:paraId="5206AE2D">
      <w:pPr>
        <w:spacing w:line="463" w:lineRule="auto"/>
        <w:rPr>
          <w:rFonts w:ascii="Arial"/>
          <w:sz w:val="21"/>
        </w:rPr>
      </w:pPr>
    </w:p>
    <w:p w14:paraId="3B02F36A">
      <w:pPr>
        <w:pStyle w:val="2"/>
        <w:spacing w:before="78" w:line="234" w:lineRule="auto"/>
        <w:ind w:right="271"/>
      </w:pPr>
      <w:r>
        <w:rPr>
          <w:spacing w:val="-2"/>
        </w:rPr>
        <w:t>4.3</w:t>
      </w:r>
      <w:r>
        <w:rPr>
          <w:spacing w:val="-45"/>
        </w:rPr>
        <w:t xml:space="preserve"> </w:t>
      </w:r>
      <w:r>
        <w:rPr>
          <w:spacing w:val="-2"/>
        </w:rPr>
        <w:t>安全方面，公司每年组织危险源辨识，包括对新建项目的危险源辨识及风险评估，</w:t>
      </w:r>
      <w:r>
        <w:t>根据风险评估结果制订应对措施，制订了风险管理程序，对承</w:t>
      </w:r>
      <w:r>
        <w:rPr>
          <w:spacing w:val="-1"/>
        </w:rPr>
        <w:t>包商、服务商进行入厂</w:t>
      </w:r>
      <w:r>
        <w:t>前安全交底、事中监督、事后检查等。定期聘请第三方机构进</w:t>
      </w:r>
      <w:r>
        <w:rPr>
          <w:spacing w:val="-1"/>
        </w:rPr>
        <w:t>行安全评估及职业卫生</w:t>
      </w:r>
      <w:r>
        <w:rPr>
          <w:spacing w:val="-10"/>
        </w:rPr>
        <w:t>评价。</w:t>
      </w:r>
    </w:p>
    <w:p w14:paraId="3A80B14D">
      <w:pPr>
        <w:spacing w:line="382" w:lineRule="auto"/>
        <w:rPr>
          <w:rFonts w:ascii="Arial"/>
          <w:sz w:val="21"/>
        </w:rPr>
      </w:pPr>
    </w:p>
    <w:p w14:paraId="435D63E3">
      <w:pPr>
        <w:pStyle w:val="2"/>
        <w:spacing w:before="79" w:line="234" w:lineRule="auto"/>
        <w:ind w:left="1" w:right="330" w:hanging="1"/>
      </w:pPr>
      <w:r>
        <w:rPr>
          <w:spacing w:val="-2"/>
        </w:rPr>
        <w:t>4.4社区影响方面，公司建立了沟通渠道，确保可能受影响的居民与公司间有效沟通，</w:t>
      </w:r>
      <w:r>
        <w:t>公布了沟通方式。公司不定期与社区代表进行沟通交流，</w:t>
      </w:r>
      <w:r>
        <w:rPr>
          <w:spacing w:val="-1"/>
        </w:rPr>
        <w:t>了解面临的困难及挑战，通</w:t>
      </w:r>
      <w:r>
        <w:t>过共同举办活动，赞助以及参加公益活动等各种手段，了</w:t>
      </w:r>
      <w:r>
        <w:rPr>
          <w:spacing w:val="-1"/>
        </w:rPr>
        <w:t>解社区的需求，收集附近居</w:t>
      </w:r>
      <w:r>
        <w:rPr>
          <w:spacing w:val="-3"/>
        </w:rPr>
        <w:t>民的意见，维护社区利益相关者的权利。</w:t>
      </w:r>
    </w:p>
    <w:p w14:paraId="1A165C23">
      <w:pPr>
        <w:spacing w:line="257" w:lineRule="auto"/>
        <w:rPr>
          <w:rFonts w:ascii="Arial"/>
          <w:sz w:val="21"/>
        </w:rPr>
      </w:pPr>
    </w:p>
    <w:p w14:paraId="6EE50BB1">
      <w:pPr>
        <w:pStyle w:val="2"/>
        <w:spacing w:before="78" w:line="233" w:lineRule="auto"/>
      </w:pPr>
      <w:r>
        <w:rPr>
          <w:spacing w:val="1"/>
        </w:rPr>
        <w:t>4.5公司建立了人权管理流程，严格保护举</w:t>
      </w:r>
      <w:r>
        <w:t>报者的隐私，杜绝各种侵犯人权的行为发生。</w:t>
      </w:r>
      <w:r>
        <w:rPr>
          <w:spacing w:val="1"/>
        </w:rPr>
        <w:t>一旦发生侵犯人权的问题，审计监察部负责各种投诉/申诉的受</w:t>
      </w:r>
      <w:r>
        <w:t>理、调查及结果的反馈。在处理完成后，需要与受影响方沟通，了解对于处理方式及结</w:t>
      </w:r>
      <w:r>
        <w:rPr>
          <w:spacing w:val="-1"/>
        </w:rPr>
        <w:t>果是否满意，不满意需</w:t>
      </w:r>
    </w:p>
    <w:p w14:paraId="03E592F3">
      <w:pPr>
        <w:pStyle w:val="2"/>
        <w:spacing w:before="24" w:line="230" w:lineRule="auto"/>
        <w:ind w:left="1" w:right="397"/>
      </w:pPr>
      <w:r>
        <w:t>要记录并重新讨论解决方案。此外，需要对发生问题的原因</w:t>
      </w:r>
      <w:r>
        <w:rPr>
          <w:spacing w:val="-1"/>
        </w:rPr>
        <w:t>进行分析，同时在制度中</w:t>
      </w:r>
      <w:r>
        <w:rPr>
          <w:spacing w:val="-3"/>
        </w:rPr>
        <w:t>规范，避免同类问题反复出现。</w:t>
      </w:r>
    </w:p>
    <w:p w14:paraId="0F87C6E0">
      <w:pPr>
        <w:spacing w:line="247" w:lineRule="auto"/>
        <w:rPr>
          <w:rFonts w:ascii="Arial"/>
          <w:sz w:val="21"/>
        </w:rPr>
      </w:pPr>
    </w:p>
    <w:p w14:paraId="60B508C3">
      <w:pPr>
        <w:spacing w:line="248" w:lineRule="auto"/>
        <w:rPr>
          <w:rFonts w:ascii="Arial"/>
          <w:sz w:val="21"/>
        </w:rPr>
      </w:pPr>
    </w:p>
    <w:p w14:paraId="11FFC78C">
      <w:pPr>
        <w:pStyle w:val="2"/>
        <w:spacing w:before="78" w:line="221" w:lineRule="auto"/>
        <w:ind w:left="5"/>
      </w:pPr>
      <w:r>
        <w:rPr>
          <w:b/>
          <w:bCs/>
          <w:spacing w:val="-3"/>
        </w:rPr>
        <w:t>5.0</w:t>
      </w:r>
      <w:r>
        <w:rPr>
          <w:spacing w:val="-3"/>
        </w:rPr>
        <w:t xml:space="preserve"> </w:t>
      </w:r>
      <w:r>
        <w:rPr>
          <w:b/>
          <w:bCs/>
          <w:spacing w:val="-3"/>
        </w:rPr>
        <w:t>应急准备和响应</w:t>
      </w:r>
    </w:p>
    <w:p w14:paraId="0426C06D">
      <w:pPr>
        <w:pStyle w:val="2"/>
        <w:spacing w:before="28"/>
        <w:ind w:left="1" w:right="276" w:firstLine="6"/>
      </w:pPr>
      <w:r>
        <w:t>公司建立了并维护一个应急准备和反应系统</w:t>
      </w:r>
      <w:r>
        <w:rPr>
          <w:spacing w:val="-1"/>
        </w:rPr>
        <w:t>，以便能与合适的相关第三方合作，对项</w:t>
      </w:r>
      <w:r>
        <w:t>目中突发性事故和紧急情况做好准备和应对，并以适当的方式防</w:t>
      </w:r>
      <w:r>
        <w:rPr>
          <w:spacing w:val="-1"/>
        </w:rPr>
        <w:t>止和降低对人和/或环</w:t>
      </w:r>
      <w:r>
        <w:t>境造成任何伤害。公司应急准备工作包括确定事故和紧急</w:t>
      </w:r>
      <w:r>
        <w:rPr>
          <w:spacing w:val="-1"/>
        </w:rPr>
        <w:t>情况可能发生的区域、可能</w:t>
      </w:r>
      <w:r>
        <w:t>受到影响的社区和个人、反应程序、备用设备和资源、与</w:t>
      </w:r>
      <w:r>
        <w:rPr>
          <w:spacing w:val="-1"/>
        </w:rPr>
        <w:t>可能受影响的社区及其他方</w:t>
      </w:r>
      <w:r>
        <w:rPr>
          <w:spacing w:val="-2"/>
        </w:rPr>
        <w:t>之间的沟通，以及定期的培训等等，以确保有效的应急反应。</w:t>
      </w:r>
    </w:p>
    <w:p w14:paraId="2CB78765">
      <w:pPr>
        <w:pStyle w:val="2"/>
        <w:spacing w:before="114" w:line="220" w:lineRule="auto"/>
        <w:ind w:left="8"/>
        <w:rPr>
          <w:spacing w:val="-2"/>
        </w:rPr>
      </w:pPr>
      <w:r>
        <w:rPr>
          <w:spacing w:val="-2"/>
        </w:rPr>
        <w:t>公司制订了应急演练计划，每年对应急预案组织演练，确保预案切实可行。</w:t>
      </w:r>
    </w:p>
    <w:p w14:paraId="580F738E">
      <w:pPr>
        <w:pStyle w:val="2"/>
        <w:spacing w:before="114" w:line="220" w:lineRule="auto"/>
        <w:ind w:left="8"/>
      </w:pPr>
      <w:r>
        <w:rPr>
          <w:b/>
          <w:bCs/>
          <w:spacing w:val="-3"/>
        </w:rPr>
        <w:t>6.0</w:t>
      </w:r>
      <w:r>
        <w:rPr>
          <w:spacing w:val="-3"/>
        </w:rPr>
        <w:t xml:space="preserve"> </w:t>
      </w:r>
      <w:r>
        <w:rPr>
          <w:b/>
          <w:bCs/>
          <w:spacing w:val="-3"/>
        </w:rPr>
        <w:t>监督与审查</w:t>
      </w:r>
    </w:p>
    <w:p w14:paraId="231555EB">
      <w:pPr>
        <w:pStyle w:val="2"/>
        <w:spacing w:before="23" w:line="233" w:lineRule="auto"/>
        <w:ind w:right="85" w:firstLine="2"/>
      </w:pPr>
      <w:r>
        <w:t>6.1 公司人力资源部组织责任岗位人员进行培训，以理</w:t>
      </w:r>
      <w:r>
        <w:rPr>
          <w:spacing w:val="-1"/>
        </w:rPr>
        <w:t>解和掌握本计划内容，研讨制</w:t>
      </w:r>
      <w:r>
        <w:t>度执行的有效性并持续改进优化，遇到变动，并导致环境、社</w:t>
      </w:r>
      <w:r>
        <w:rPr>
          <w:spacing w:val="-1"/>
        </w:rPr>
        <w:t>会和治理方面发生实质性变化后，对计划进行审查。每五年对该管理计划计划至少进行一次</w:t>
      </w:r>
      <w:r>
        <w:rPr>
          <w:spacing w:val="-2"/>
        </w:rPr>
        <w:t>复审。</w:t>
      </w:r>
    </w:p>
    <w:p w14:paraId="19B8A9A0">
      <w:pPr>
        <w:pStyle w:val="2"/>
        <w:spacing w:before="146" w:line="219" w:lineRule="auto"/>
        <w:jc w:val="right"/>
        <w:rPr>
          <w:spacing w:val="-2"/>
        </w:rPr>
      </w:pPr>
      <w:r>
        <w:rPr>
          <w:spacing w:val="-1"/>
        </w:rPr>
        <w:t>6.2、公司管理层每年回顾上述管理计划的执行情况，提供资源，</w:t>
      </w:r>
      <w:r>
        <w:rPr>
          <w:spacing w:val="-2"/>
        </w:rPr>
        <w:t>并督促落实及改进。</w:t>
      </w:r>
    </w:p>
    <w:p w14:paraId="73920181">
      <w:pPr>
        <w:pStyle w:val="2"/>
        <w:spacing w:before="146" w:line="219" w:lineRule="auto"/>
        <w:jc w:val="right"/>
        <w:rPr>
          <w:spacing w:val="-2"/>
        </w:rPr>
      </w:pPr>
    </w:p>
    <w:p w14:paraId="7EBF4A2C">
      <w:pPr>
        <w:pStyle w:val="2"/>
        <w:spacing w:before="146" w:line="219" w:lineRule="auto"/>
        <w:jc w:val="right"/>
        <w:rPr>
          <w:spacing w:val="-2"/>
        </w:rPr>
      </w:pPr>
    </w:p>
    <w:p w14:paraId="545FFD96">
      <w:pPr>
        <w:pStyle w:val="2"/>
        <w:spacing w:before="146" w:line="219" w:lineRule="auto"/>
        <w:jc w:val="right"/>
        <w:rPr>
          <w:spacing w:val="-2"/>
        </w:rPr>
      </w:pPr>
    </w:p>
    <w:p w14:paraId="6D07EA4F">
      <w:pPr>
        <w:pStyle w:val="2"/>
        <w:spacing w:before="146" w:line="219" w:lineRule="auto"/>
        <w:jc w:val="right"/>
        <w:rPr>
          <w:spacing w:val="-2"/>
        </w:rPr>
      </w:pPr>
    </w:p>
    <w:p w14:paraId="103A67AE">
      <w:pPr>
        <w:pStyle w:val="2"/>
        <w:spacing w:before="146" w:line="219" w:lineRule="auto"/>
        <w:jc w:val="right"/>
        <w:rPr>
          <w:spacing w:val="-2"/>
        </w:rPr>
      </w:pPr>
    </w:p>
    <w:p w14:paraId="0C86AEB8">
      <w:pPr>
        <w:pStyle w:val="2"/>
        <w:spacing w:before="146" w:line="219" w:lineRule="auto"/>
        <w:jc w:val="right"/>
        <w:rPr>
          <w:spacing w:val="-2"/>
        </w:rPr>
      </w:pPr>
    </w:p>
    <w:p w14:paraId="02C4A86E">
      <w:pPr>
        <w:pStyle w:val="2"/>
        <w:spacing w:before="146" w:line="219" w:lineRule="auto"/>
        <w:jc w:val="right"/>
        <w:rPr>
          <w:spacing w:val="-2"/>
        </w:rPr>
      </w:pPr>
    </w:p>
    <w:p w14:paraId="5F88E4A5">
      <w:pPr>
        <w:pStyle w:val="2"/>
        <w:spacing w:before="146" w:line="219" w:lineRule="auto"/>
        <w:jc w:val="right"/>
        <w:rPr>
          <w:spacing w:val="-2"/>
        </w:rPr>
      </w:pPr>
    </w:p>
    <w:p w14:paraId="2AE661E2">
      <w:pPr>
        <w:pStyle w:val="2"/>
        <w:spacing w:before="146" w:line="219" w:lineRule="auto"/>
        <w:jc w:val="right"/>
        <w:rPr>
          <w:spacing w:val="-2"/>
        </w:rPr>
      </w:pPr>
    </w:p>
    <w:p w14:paraId="3A7E4B49">
      <w:pPr>
        <w:pStyle w:val="2"/>
        <w:spacing w:before="146" w:line="219" w:lineRule="auto"/>
        <w:jc w:val="right"/>
        <w:rPr>
          <w:spacing w:val="-2"/>
        </w:rPr>
      </w:pPr>
    </w:p>
    <w:p w14:paraId="4DBF0BC7">
      <w:pPr>
        <w:pStyle w:val="2"/>
        <w:spacing w:before="146" w:line="219" w:lineRule="auto"/>
        <w:jc w:val="right"/>
        <w:rPr>
          <w:spacing w:val="-2"/>
        </w:rPr>
      </w:pPr>
    </w:p>
    <w:p w14:paraId="7794262F">
      <w:pPr>
        <w:pStyle w:val="2"/>
        <w:spacing w:before="146" w:line="219" w:lineRule="auto"/>
        <w:jc w:val="both"/>
        <w:rPr>
          <w:spacing w:val="-2"/>
        </w:rPr>
      </w:pPr>
    </w:p>
    <w:p w14:paraId="3C32131F">
      <w:pPr>
        <w:pStyle w:val="2"/>
        <w:spacing w:before="146" w:line="219" w:lineRule="auto"/>
        <w:jc w:val="both"/>
        <w:rPr>
          <w:spacing w:val="-2"/>
        </w:rPr>
      </w:pPr>
    </w:p>
    <w:p w14:paraId="6A62BFAD">
      <w:pPr>
        <w:pStyle w:val="2"/>
        <w:spacing w:before="146" w:line="219" w:lineRule="auto"/>
        <w:jc w:val="both"/>
        <w:rPr>
          <w:spacing w:val="-2"/>
        </w:rPr>
      </w:pPr>
    </w:p>
    <w:p w14:paraId="63FF5D4B">
      <w:pPr>
        <w:pStyle w:val="2"/>
        <w:spacing w:before="146" w:line="219" w:lineRule="auto"/>
        <w:jc w:val="both"/>
        <w:rPr>
          <w:spacing w:val="-2"/>
        </w:rPr>
      </w:pPr>
    </w:p>
    <w:p w14:paraId="0EBF272F">
      <w:pPr>
        <w:pStyle w:val="2"/>
        <w:spacing w:before="146" w:line="219" w:lineRule="auto"/>
        <w:jc w:val="both"/>
        <w:rPr>
          <w:spacing w:val="-2"/>
        </w:rPr>
      </w:pPr>
    </w:p>
    <w:p w14:paraId="4FC1F906">
      <w:pPr>
        <w:pStyle w:val="2"/>
        <w:spacing w:before="146" w:line="219" w:lineRule="auto"/>
        <w:jc w:val="both"/>
        <w:rPr>
          <w:spacing w:val="-2"/>
        </w:rPr>
      </w:pPr>
    </w:p>
    <w:p w14:paraId="58E78CE6">
      <w:pPr>
        <w:pStyle w:val="2"/>
        <w:spacing w:before="146" w:line="219" w:lineRule="auto"/>
        <w:jc w:val="both"/>
        <w:rPr>
          <w:spacing w:val="-2"/>
        </w:rPr>
      </w:pPr>
    </w:p>
    <w:p w14:paraId="7C105513">
      <w:pPr>
        <w:pStyle w:val="2"/>
        <w:spacing w:before="146" w:line="219" w:lineRule="auto"/>
        <w:jc w:val="both"/>
        <w:rPr>
          <w:spacing w:val="-2"/>
        </w:rPr>
      </w:pPr>
    </w:p>
    <w:p w14:paraId="216509E1">
      <w:pPr>
        <w:pStyle w:val="2"/>
        <w:spacing w:before="146" w:line="219" w:lineRule="auto"/>
        <w:jc w:val="both"/>
        <w:rPr>
          <w:spacing w:val="-2"/>
        </w:rPr>
      </w:pPr>
    </w:p>
    <w:p w14:paraId="74022688">
      <w:pPr>
        <w:pStyle w:val="2"/>
        <w:spacing w:before="146" w:line="219" w:lineRule="auto"/>
        <w:jc w:val="both"/>
        <w:rPr>
          <w:spacing w:val="-2"/>
        </w:rPr>
      </w:pPr>
    </w:p>
    <w:p w14:paraId="67D661AE">
      <w:pPr>
        <w:pStyle w:val="2"/>
        <w:spacing w:before="146" w:line="219" w:lineRule="auto"/>
        <w:jc w:val="both"/>
        <w:rPr>
          <w:spacing w:val="-2"/>
        </w:rPr>
      </w:pPr>
    </w:p>
    <w:p w14:paraId="11738F1C">
      <w:pPr>
        <w:pStyle w:val="2"/>
        <w:spacing w:before="146" w:line="219" w:lineRule="auto"/>
        <w:jc w:val="both"/>
        <w:rPr>
          <w:spacing w:val="-2"/>
        </w:rPr>
      </w:pPr>
    </w:p>
    <w:p w14:paraId="1DDABDEA">
      <w:pPr>
        <w:pStyle w:val="2"/>
        <w:spacing w:before="146" w:line="219" w:lineRule="auto"/>
        <w:jc w:val="both"/>
        <w:rPr>
          <w:spacing w:val="-2"/>
        </w:rPr>
      </w:pPr>
    </w:p>
    <w:p w14:paraId="1FA520FB">
      <w:pPr>
        <w:pStyle w:val="2"/>
        <w:spacing w:before="146" w:line="219" w:lineRule="auto"/>
        <w:jc w:val="both"/>
        <w:rPr>
          <w:spacing w:val="-2"/>
        </w:rPr>
      </w:pPr>
    </w:p>
    <w:p w14:paraId="450E70D9">
      <w:pPr>
        <w:pStyle w:val="2"/>
        <w:spacing w:before="146" w:line="219" w:lineRule="auto"/>
        <w:jc w:val="both"/>
        <w:rPr>
          <w:spacing w:val="-2"/>
        </w:rPr>
      </w:pPr>
    </w:p>
    <w:p w14:paraId="60E9D055">
      <w:pPr>
        <w:pStyle w:val="2"/>
        <w:spacing w:before="146" w:line="219" w:lineRule="auto"/>
        <w:jc w:val="both"/>
        <w:rPr>
          <w:spacing w:val="-2"/>
        </w:rPr>
      </w:pPr>
    </w:p>
    <w:p w14:paraId="792AEDDC">
      <w:pPr>
        <w:pStyle w:val="2"/>
        <w:spacing w:before="146" w:line="219" w:lineRule="auto"/>
        <w:jc w:val="both"/>
        <w:rPr>
          <w:rFonts w:hint="eastAsia" w:eastAsia="宋体"/>
          <w:spacing w:val="-2"/>
          <w:lang w:eastAsia="zh-CN"/>
        </w:rPr>
      </w:pPr>
      <w:r>
        <w:rPr>
          <w:rFonts w:hint="eastAsia" w:eastAsia="宋体"/>
          <w:spacing w:val="-2"/>
          <w:lang w:eastAsia="zh-CN"/>
        </w:rPr>
        <w:drawing>
          <wp:inline distT="0" distB="0" distL="114300" distR="114300">
            <wp:extent cx="5688330" cy="8053705"/>
            <wp:effectExtent l="0" t="0" r="7620" b="4445"/>
            <wp:docPr id="1" name="图片 1" descr="1777004397328_南环保审函〔2026〕53号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777004397328_南环保审函〔2026〕53号_01"/>
                    <pic:cNvPicPr>
                      <a:picLocks noChangeAspect="1"/>
                    </pic:cNvPicPr>
                  </pic:nvPicPr>
                  <pic:blipFill>
                    <a:blip r:embed="rId6"/>
                    <a:stretch>
                      <a:fillRect/>
                    </a:stretch>
                  </pic:blipFill>
                  <pic:spPr>
                    <a:xfrm>
                      <a:off x="0" y="0"/>
                      <a:ext cx="5688330" cy="8053705"/>
                    </a:xfrm>
                    <a:prstGeom prst="rect">
                      <a:avLst/>
                    </a:prstGeom>
                  </pic:spPr>
                </pic:pic>
              </a:graphicData>
            </a:graphic>
          </wp:inline>
        </w:drawing>
      </w:r>
    </w:p>
    <w:p w14:paraId="1D1309B9">
      <w:pPr>
        <w:pStyle w:val="2"/>
        <w:spacing w:before="146" w:line="219" w:lineRule="auto"/>
        <w:jc w:val="both"/>
        <w:rPr>
          <w:rFonts w:hint="eastAsia" w:eastAsia="宋体"/>
          <w:spacing w:val="-2"/>
          <w:lang w:eastAsia="zh-CN"/>
        </w:rPr>
      </w:pPr>
    </w:p>
    <w:p w14:paraId="4612EE2B">
      <w:pPr>
        <w:pStyle w:val="2"/>
        <w:spacing w:before="146" w:line="219" w:lineRule="auto"/>
        <w:jc w:val="both"/>
        <w:rPr>
          <w:rFonts w:hint="eastAsia" w:eastAsia="宋体"/>
          <w:spacing w:val="-2"/>
          <w:lang w:eastAsia="zh-CN"/>
        </w:rPr>
      </w:pPr>
    </w:p>
    <w:p w14:paraId="16854535">
      <w:pPr>
        <w:pStyle w:val="2"/>
        <w:spacing w:before="146" w:line="219" w:lineRule="auto"/>
        <w:jc w:val="both"/>
        <w:rPr>
          <w:rFonts w:hint="eastAsia" w:eastAsia="宋体"/>
          <w:spacing w:val="-2"/>
          <w:lang w:eastAsia="zh-CN"/>
        </w:rPr>
      </w:pPr>
    </w:p>
    <w:p w14:paraId="4C8C9FAF">
      <w:pPr>
        <w:pStyle w:val="2"/>
        <w:spacing w:before="146" w:line="219" w:lineRule="auto"/>
        <w:jc w:val="both"/>
        <w:rPr>
          <w:rFonts w:hint="eastAsia" w:eastAsia="宋体"/>
          <w:spacing w:val="-2"/>
          <w:lang w:eastAsia="zh-CN"/>
        </w:rPr>
      </w:pPr>
    </w:p>
    <w:p w14:paraId="1C206F52">
      <w:pPr>
        <w:pStyle w:val="2"/>
        <w:spacing w:before="146" w:line="219" w:lineRule="auto"/>
        <w:jc w:val="both"/>
        <w:rPr>
          <w:rFonts w:hint="eastAsia" w:eastAsia="宋体"/>
          <w:spacing w:val="-2"/>
          <w:lang w:eastAsia="zh-CN"/>
        </w:rPr>
      </w:pPr>
    </w:p>
    <w:p w14:paraId="06634A33">
      <w:pPr>
        <w:pStyle w:val="2"/>
        <w:spacing w:before="146" w:line="219" w:lineRule="auto"/>
        <w:jc w:val="both"/>
        <w:rPr>
          <w:rFonts w:hint="eastAsia" w:eastAsia="宋体"/>
          <w:spacing w:val="-2"/>
          <w:lang w:eastAsia="zh-CN"/>
        </w:rPr>
      </w:pPr>
    </w:p>
    <w:p w14:paraId="4B0768E0">
      <w:pPr>
        <w:pStyle w:val="2"/>
        <w:spacing w:before="146" w:line="219" w:lineRule="auto"/>
        <w:jc w:val="both"/>
        <w:rPr>
          <w:rFonts w:hint="eastAsia" w:eastAsia="宋体"/>
          <w:spacing w:val="-2"/>
          <w:lang w:eastAsia="zh-CN"/>
        </w:rPr>
      </w:pPr>
      <w:r>
        <w:rPr>
          <w:rFonts w:hint="eastAsia" w:eastAsia="宋体"/>
          <w:spacing w:val="-2"/>
          <w:lang w:eastAsia="zh-CN"/>
        </w:rPr>
        <w:drawing>
          <wp:inline distT="0" distB="0" distL="114300" distR="114300">
            <wp:extent cx="5688330" cy="8053705"/>
            <wp:effectExtent l="0" t="0" r="7620" b="4445"/>
            <wp:docPr id="2" name="图片 2" descr="1777004397328_南环保审函〔2026〕53号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777004397328_南环保审函〔2026〕53号_02"/>
                    <pic:cNvPicPr>
                      <a:picLocks noChangeAspect="1"/>
                    </pic:cNvPicPr>
                  </pic:nvPicPr>
                  <pic:blipFill>
                    <a:blip r:embed="rId7"/>
                    <a:stretch>
                      <a:fillRect/>
                    </a:stretch>
                  </pic:blipFill>
                  <pic:spPr>
                    <a:xfrm>
                      <a:off x="0" y="0"/>
                      <a:ext cx="5688330" cy="8053705"/>
                    </a:xfrm>
                    <a:prstGeom prst="rect">
                      <a:avLst/>
                    </a:prstGeom>
                  </pic:spPr>
                </pic:pic>
              </a:graphicData>
            </a:graphic>
          </wp:inline>
        </w:drawing>
      </w:r>
    </w:p>
    <w:p w14:paraId="17DECA9A">
      <w:pPr>
        <w:pStyle w:val="2"/>
        <w:spacing w:before="146" w:line="219" w:lineRule="auto"/>
        <w:jc w:val="both"/>
        <w:rPr>
          <w:rFonts w:hint="eastAsia" w:eastAsia="宋体"/>
          <w:spacing w:val="-2"/>
          <w:lang w:eastAsia="zh-CN"/>
        </w:rPr>
      </w:pPr>
    </w:p>
    <w:p w14:paraId="0A9FAA5D">
      <w:pPr>
        <w:pStyle w:val="2"/>
        <w:spacing w:before="146" w:line="219" w:lineRule="auto"/>
        <w:jc w:val="both"/>
        <w:rPr>
          <w:rFonts w:hint="eastAsia" w:eastAsia="宋体"/>
          <w:spacing w:val="-2"/>
          <w:lang w:eastAsia="zh-CN"/>
        </w:rPr>
      </w:pPr>
    </w:p>
    <w:p w14:paraId="61F8EBBB">
      <w:pPr>
        <w:pStyle w:val="2"/>
        <w:spacing w:before="146" w:line="219" w:lineRule="auto"/>
        <w:jc w:val="both"/>
        <w:rPr>
          <w:rFonts w:hint="eastAsia" w:eastAsia="宋体"/>
          <w:spacing w:val="-2"/>
          <w:lang w:eastAsia="zh-CN"/>
        </w:rPr>
      </w:pPr>
    </w:p>
    <w:p w14:paraId="74CB8B1E">
      <w:pPr>
        <w:pStyle w:val="2"/>
        <w:spacing w:before="146" w:line="219" w:lineRule="auto"/>
        <w:jc w:val="both"/>
        <w:rPr>
          <w:rFonts w:hint="eastAsia" w:eastAsia="宋体"/>
          <w:spacing w:val="-2"/>
          <w:lang w:eastAsia="zh-CN"/>
        </w:rPr>
      </w:pPr>
    </w:p>
    <w:p w14:paraId="20752862">
      <w:pPr>
        <w:pStyle w:val="2"/>
        <w:spacing w:before="146" w:line="219" w:lineRule="auto"/>
        <w:jc w:val="both"/>
        <w:rPr>
          <w:rFonts w:hint="eastAsia" w:eastAsia="宋体"/>
          <w:spacing w:val="-2"/>
          <w:lang w:eastAsia="zh-CN"/>
        </w:rPr>
      </w:pPr>
    </w:p>
    <w:p w14:paraId="42C3A49D">
      <w:pPr>
        <w:pStyle w:val="2"/>
        <w:spacing w:before="146" w:line="219" w:lineRule="auto"/>
        <w:jc w:val="both"/>
        <w:rPr>
          <w:rFonts w:hint="eastAsia" w:eastAsia="宋体"/>
          <w:spacing w:val="-2"/>
          <w:lang w:eastAsia="zh-CN"/>
        </w:rPr>
      </w:pPr>
    </w:p>
    <w:p w14:paraId="2CCC90EE">
      <w:pPr>
        <w:pStyle w:val="2"/>
        <w:spacing w:before="146" w:line="219" w:lineRule="auto"/>
        <w:jc w:val="both"/>
        <w:rPr>
          <w:rFonts w:hint="eastAsia" w:eastAsia="宋体"/>
          <w:spacing w:val="-2"/>
          <w:lang w:eastAsia="zh-CN"/>
        </w:rPr>
      </w:pPr>
      <w:r>
        <w:rPr>
          <w:rFonts w:hint="eastAsia" w:eastAsia="宋体"/>
          <w:spacing w:val="-2"/>
          <w:lang w:eastAsia="zh-CN"/>
        </w:rPr>
        <w:drawing>
          <wp:inline distT="0" distB="0" distL="114300" distR="114300">
            <wp:extent cx="5688330" cy="8053705"/>
            <wp:effectExtent l="0" t="0" r="7620" b="4445"/>
            <wp:docPr id="3" name="图片 3" descr="1777004397328_南环保审函〔2026〕53号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77004397328_南环保审函〔2026〕53号_03"/>
                    <pic:cNvPicPr>
                      <a:picLocks noChangeAspect="1"/>
                    </pic:cNvPicPr>
                  </pic:nvPicPr>
                  <pic:blipFill>
                    <a:blip r:embed="rId8"/>
                    <a:stretch>
                      <a:fillRect/>
                    </a:stretch>
                  </pic:blipFill>
                  <pic:spPr>
                    <a:xfrm>
                      <a:off x="0" y="0"/>
                      <a:ext cx="5688330" cy="8053705"/>
                    </a:xfrm>
                    <a:prstGeom prst="rect">
                      <a:avLst/>
                    </a:prstGeom>
                  </pic:spPr>
                </pic:pic>
              </a:graphicData>
            </a:graphic>
          </wp:inline>
        </w:drawing>
      </w:r>
    </w:p>
    <w:p w14:paraId="033E106F">
      <w:pPr>
        <w:pStyle w:val="2"/>
        <w:spacing w:before="146" w:line="219" w:lineRule="auto"/>
        <w:jc w:val="both"/>
        <w:rPr>
          <w:rFonts w:hint="eastAsia" w:eastAsia="宋体"/>
          <w:spacing w:val="-2"/>
          <w:lang w:eastAsia="zh-CN"/>
        </w:rPr>
      </w:pPr>
    </w:p>
    <w:p w14:paraId="78C777A1">
      <w:pPr>
        <w:pStyle w:val="2"/>
        <w:spacing w:before="146" w:line="219" w:lineRule="auto"/>
        <w:jc w:val="both"/>
        <w:rPr>
          <w:rFonts w:hint="eastAsia" w:eastAsia="宋体"/>
          <w:spacing w:val="-2"/>
          <w:lang w:eastAsia="zh-CN"/>
        </w:rPr>
      </w:pPr>
    </w:p>
    <w:p w14:paraId="2EFF572D">
      <w:pPr>
        <w:pStyle w:val="2"/>
        <w:spacing w:before="146" w:line="219" w:lineRule="auto"/>
        <w:jc w:val="both"/>
        <w:rPr>
          <w:rFonts w:hint="eastAsia" w:eastAsia="宋体"/>
          <w:spacing w:val="-2"/>
          <w:lang w:eastAsia="zh-CN"/>
        </w:rPr>
      </w:pPr>
    </w:p>
    <w:p w14:paraId="2619EA68">
      <w:pPr>
        <w:pStyle w:val="2"/>
        <w:spacing w:before="146" w:line="219" w:lineRule="auto"/>
        <w:jc w:val="both"/>
        <w:rPr>
          <w:rFonts w:hint="eastAsia" w:eastAsia="宋体"/>
          <w:spacing w:val="-2"/>
          <w:lang w:eastAsia="zh-CN"/>
        </w:rPr>
      </w:pPr>
    </w:p>
    <w:p w14:paraId="0CCB104A">
      <w:pPr>
        <w:pStyle w:val="2"/>
        <w:spacing w:before="146" w:line="219" w:lineRule="auto"/>
        <w:jc w:val="both"/>
        <w:rPr>
          <w:rFonts w:hint="eastAsia" w:eastAsia="宋体"/>
          <w:spacing w:val="-2"/>
          <w:lang w:eastAsia="zh-CN"/>
        </w:rPr>
      </w:pPr>
    </w:p>
    <w:p w14:paraId="2131C2C7">
      <w:pPr>
        <w:pStyle w:val="2"/>
        <w:spacing w:before="146" w:line="219" w:lineRule="auto"/>
        <w:jc w:val="both"/>
        <w:rPr>
          <w:rFonts w:hint="eastAsia" w:eastAsia="宋体"/>
          <w:spacing w:val="-2"/>
          <w:lang w:eastAsia="zh-CN"/>
        </w:rPr>
      </w:pPr>
    </w:p>
    <w:p w14:paraId="35B681FA">
      <w:pPr>
        <w:pStyle w:val="2"/>
        <w:spacing w:before="146" w:line="219" w:lineRule="auto"/>
        <w:jc w:val="both"/>
        <w:rPr>
          <w:rFonts w:hint="eastAsia" w:eastAsia="宋体"/>
          <w:spacing w:val="-2"/>
          <w:lang w:eastAsia="zh-CN"/>
        </w:rPr>
      </w:pPr>
      <w:bookmarkStart w:id="0" w:name="_GoBack"/>
      <w:r>
        <w:rPr>
          <w:rFonts w:hint="eastAsia" w:eastAsia="宋体"/>
          <w:spacing w:val="-2"/>
          <w:lang w:eastAsia="zh-CN"/>
        </w:rPr>
        <w:drawing>
          <wp:inline distT="0" distB="0" distL="114300" distR="114300">
            <wp:extent cx="5688330" cy="8053705"/>
            <wp:effectExtent l="0" t="0" r="7620" b="4445"/>
            <wp:docPr id="4" name="图片 4" descr="1777004397328_南环保审函〔2026〕53号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777004397328_南环保审函〔2026〕53号_04"/>
                    <pic:cNvPicPr>
                      <a:picLocks noChangeAspect="1"/>
                    </pic:cNvPicPr>
                  </pic:nvPicPr>
                  <pic:blipFill>
                    <a:blip r:embed="rId9"/>
                    <a:stretch>
                      <a:fillRect/>
                    </a:stretch>
                  </pic:blipFill>
                  <pic:spPr>
                    <a:xfrm>
                      <a:off x="0" y="0"/>
                      <a:ext cx="5688330" cy="8053705"/>
                    </a:xfrm>
                    <a:prstGeom prst="rect">
                      <a:avLst/>
                    </a:prstGeom>
                  </pic:spPr>
                </pic:pic>
              </a:graphicData>
            </a:graphic>
          </wp:inline>
        </w:drawing>
      </w:r>
      <w:bookmarkEnd w:id="0"/>
    </w:p>
    <w:sectPr>
      <w:pgSz w:w="11907" w:h="16839"/>
      <w:pgMar w:top="1431" w:right="1524" w:bottom="0" w:left="1424"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9"/>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48246CD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4"/>
      <w:szCs w:val="24"/>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My正文"/>
    <w:basedOn w:val="1"/>
    <w:qFormat/>
    <w:uiPriority w:val="0"/>
    <w:pPr>
      <w:adjustRightInd w:val="0"/>
      <w:snapToGrid w:val="0"/>
      <w:spacing w:line="360" w:lineRule="auto"/>
      <w:ind w:firstLine="480" w:firstLineChars="200"/>
    </w:pPr>
    <w:rPr>
      <w:rFonts w:ascii="宋体" w:hAnsi="宋体" w:cs="宋体"/>
      <w:color w:val="000000"/>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Pages>
  <Words>1934</Words>
  <Characters>1993</Characters>
  <TotalTime>10</TotalTime>
  <ScaleCrop>false</ScaleCrop>
  <LinksUpToDate>false</LinksUpToDate>
  <CharactersWithSpaces>2016</CharactersWithSpaces>
  <Application>WPS Office_12.1.0.23542_F1E327BC-269C-435d-A152-05C5408002CA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2025-01-07T09:11:00Z</dcterms:created>
  <dc:creator>Yu, Victor (Shenzhen)</dc:creator>
  <cp:lastModifiedBy>WPS_1685930518</cp:lastModifiedBy>
  <dcterms:modified xsi:type="dcterms:W3CDTF">2026-09-03T15:02:46Z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2026-09-03T22:39:41Z</vt:filetime>
  </property>
  <property fmtid="{D5CDD505-2E9C-101B-9397-08002B2CF9AE}" pid="4" name="KSOTemplateDocerSaveRecord">
    <vt:lpwstr>eyJoZGlkIjoiOTYzZDZhYjg2ZWRhM2IzZGM0ZDYwNDFmMmIxNmE1YmEiLCJ1c2VySWQiOiIxNDk4Njk5Nzk3In0=</vt:lpwstr>
  </property>
  <property fmtid="{D5CDD505-2E9C-101B-9397-08002B2CF9AE}" pid="5" name="KSOProductBuildVer">
    <vt:lpwstr>2052-12.1.0.23542</vt:lpwstr>
  </property>
  <property fmtid="{D5CDD505-2E9C-101B-9397-08002B2CF9AE}" pid="6" name="ICV">
    <vt:lpwstr>95ACD90FC45640E2AE694E6EA8FE5042_12</vt:lpwstr>
  </property>
</Properties>
</file>