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52902">
      <w:pPr>
        <w:jc w:val="center"/>
        <w:rPr>
          <w:rFonts w:hint="eastAsia" w:asciiTheme="minorEastAsia" w:hAnsiTheme="minorEastAsia" w:eastAsiaTheme="minorEastAsia" w:cstheme="minorEastAsia"/>
          <w:b/>
          <w:bCs/>
          <w:color w:val="auto"/>
          <w:sz w:val="36"/>
          <w:szCs w:val="36"/>
          <w:lang w:val="en-US" w:eastAsia="zh-CN"/>
        </w:rPr>
      </w:pPr>
      <w:r>
        <w:rPr>
          <w:rFonts w:hint="eastAsia" w:asciiTheme="minorEastAsia" w:hAnsiTheme="minorEastAsia" w:eastAsiaTheme="minorEastAsia" w:cstheme="minorEastAsia"/>
          <w:b/>
          <w:bCs/>
          <w:color w:val="auto"/>
          <w:sz w:val="36"/>
          <w:szCs w:val="36"/>
          <w:lang w:val="en-US" w:eastAsia="zh-CN"/>
        </w:rPr>
        <w:t>南平铝业股份有限公司2026年度</w:t>
      </w:r>
    </w:p>
    <w:p w14:paraId="18AFC65D">
      <w:pPr>
        <w:jc w:val="center"/>
        <w:rPr>
          <w:rFonts w:hint="eastAsia" w:asciiTheme="minorEastAsia" w:hAnsiTheme="minorEastAsia" w:eastAsiaTheme="minorEastAsia" w:cstheme="minorEastAsia"/>
          <w:b/>
          <w:bCs/>
          <w:color w:val="auto"/>
          <w:sz w:val="36"/>
          <w:szCs w:val="36"/>
          <w:lang w:val="en-US" w:eastAsia="zh-CN"/>
        </w:rPr>
      </w:pPr>
      <w:r>
        <w:rPr>
          <w:rFonts w:hint="eastAsia" w:asciiTheme="minorEastAsia" w:hAnsiTheme="minorEastAsia" w:eastAsiaTheme="minorEastAsia" w:cstheme="minorEastAsia"/>
          <w:b/>
          <w:bCs/>
          <w:color w:val="auto"/>
          <w:sz w:val="36"/>
          <w:szCs w:val="36"/>
          <w:lang w:val="en-US" w:eastAsia="zh-CN"/>
        </w:rPr>
        <w:t>水、大气污染物排放统计及减排计划</w:t>
      </w:r>
      <w:bookmarkStart w:id="0" w:name="_GoBack"/>
      <w:bookmarkEnd w:id="0"/>
    </w:p>
    <w:p w14:paraId="1BBAEEA9"/>
    <w:p w14:paraId="792B56C3">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textAlignment w:val="auto"/>
        <w:rPr>
          <w:b/>
          <w:bCs/>
        </w:rPr>
      </w:pPr>
      <w:r>
        <w:rPr>
          <w:rFonts w:hint="eastAsia" w:ascii="仿宋_GB2312" w:hAnsi="仿宋_GB2312" w:eastAsia="仿宋_GB2312" w:cs="仿宋_GB2312"/>
          <w:sz w:val="32"/>
          <w:szCs w:val="32"/>
        </w:rPr>
        <w:t>南平铝业股份有限公司作为国有控股铝加工重点企业，深入贯彻落实“绿水青山就是金山银山” 生态发展理念，严格落实企业水污染防治主体责任，把水资源节约、废水减量化、资源化利用摆在企业环境管理的重要位置。公司坚持控源、治理、回用并举，不断完善废水处理设施运行管理，强化排污口规范化管控，严格落实排污许可管理相关要求，常态化开展水质监测、设施运维、隐患排查，全力防范水环境风险，推动水资源循环利用，实现企业生产经营与水生态保护协调发展。公司持续强化大气环境管理，系统开展有组织废气深度治理、无组织排放精细化管控，不断完善环保设施运维管理体系，多措并举压减各类大气污染物产生与排放，推动生产与生态保护协同共进。</w:t>
      </w:r>
    </w:p>
    <w:p w14:paraId="79871FE8">
      <w:pPr>
        <w:keepNext w:val="0"/>
        <w:keepLines w:val="0"/>
        <w:pageBreakBefore w:val="0"/>
        <w:widowControl w:val="0"/>
        <w:tabs>
          <w:tab w:val="left" w:pos="1700"/>
        </w:tabs>
        <w:kinsoku/>
        <w:wordWrap/>
        <w:overflowPunct/>
        <w:topLinePunct w:val="0"/>
        <w:autoSpaceDE/>
        <w:autoSpaceDN/>
        <w:bidi w:val="0"/>
        <w:adjustRightInd/>
        <w:snapToGrid/>
        <w:spacing w:line="540" w:lineRule="exact"/>
        <w:ind w:firstLine="640"/>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一、大气方面</w:t>
      </w:r>
    </w:p>
    <w:p w14:paraId="70AF3C44">
      <w:pPr>
        <w:keepNext w:val="0"/>
        <w:keepLines w:val="0"/>
        <w:pageBreakBefore w:val="0"/>
        <w:widowControl w:val="0"/>
        <w:tabs>
          <w:tab w:val="left" w:pos="1700"/>
        </w:tabs>
        <w:kinsoku/>
        <w:wordWrap/>
        <w:overflowPunct/>
        <w:topLinePunct w:val="0"/>
        <w:autoSpaceDE/>
        <w:autoSpaceDN/>
        <w:bidi w:val="0"/>
        <w:adjustRightInd/>
        <w:snapToGrid/>
        <w:spacing w:line="540" w:lineRule="exact"/>
        <w:ind w:firstLine="600" w:firstLineChars="200"/>
        <w:textAlignment w:val="auto"/>
        <w:rPr>
          <w:rFonts w:hint="eastAsia" w:ascii="黑体" w:hAnsi="黑体" w:eastAsia="黑体" w:cs="黑体"/>
          <w:color w:val="auto"/>
          <w:sz w:val="30"/>
          <w:szCs w:val="30"/>
          <w:highlight w:val="none"/>
          <w:lang w:val="en-US" w:eastAsia="zh-CN"/>
        </w:rPr>
      </w:pPr>
      <w:r>
        <w:rPr>
          <w:rFonts w:hint="eastAsia" w:ascii="黑体" w:hAnsi="黑体" w:eastAsia="黑体" w:cs="黑体"/>
          <w:color w:val="auto"/>
          <w:sz w:val="30"/>
          <w:szCs w:val="30"/>
          <w:highlight w:val="none"/>
          <w:lang w:val="en-US" w:eastAsia="zh-CN"/>
        </w:rPr>
        <w:t>（一）大气污染治理工作开展情况</w:t>
      </w:r>
    </w:p>
    <w:p w14:paraId="223741DC">
      <w:pPr>
        <w:keepNext w:val="0"/>
        <w:keepLines w:val="0"/>
        <w:pageBreakBefore w:val="0"/>
        <w:widowControl w:val="0"/>
        <w:tabs>
          <w:tab w:val="left" w:pos="1700"/>
        </w:tabs>
        <w:kinsoku/>
        <w:wordWrap/>
        <w:overflowPunct/>
        <w:topLinePunct w:val="0"/>
        <w:autoSpaceDE/>
        <w:autoSpaceDN/>
        <w:bidi w:val="0"/>
        <w:adjustRightInd/>
        <w:snapToGrid/>
        <w:spacing w:line="540" w:lineRule="exact"/>
        <w:ind w:firstLine="600" w:firstLineChars="200"/>
        <w:textAlignment w:val="auto"/>
        <w:rPr>
          <w:rFonts w:hint="eastAsia"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lang w:val="en-US" w:eastAsia="zh-CN"/>
        </w:rPr>
        <w:t>公司聚焦大气环境质量改善目标，以有组织排放深度治理作为核心工作方向，组织专业环保、工艺技术人员对全厂全生产流程的有组织废气排放源开展拉网式全面排查，逐一梳理各排气筒、治理设施运行现状，结合行业先进治理经验推进环保设施技术升级改造。针对二氧化硫、氮氧化物、氟化物等重点管控大气污染物，优化废气处理工艺，强化污染物深度脱除效能。在严格保障环保设施与生产设备同步运行的基础上，落实常态化巡检维护、在线监测比对、定期手工监测等管控手段，确保各排污口污染物排放浓度稳定控制在排污许可限值以内，最大限度削减各类污染物实际排放量。</w:t>
      </w:r>
    </w:p>
    <w:p w14:paraId="50B34D2F">
      <w:pPr>
        <w:keepNext w:val="0"/>
        <w:keepLines w:val="0"/>
        <w:pageBreakBefore w:val="0"/>
        <w:widowControl w:val="0"/>
        <w:tabs>
          <w:tab w:val="left" w:pos="1700"/>
        </w:tabs>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lang w:val="en-US" w:eastAsia="zh-CN"/>
        </w:rPr>
        <w:t>在做好有组织废气管控的同时，同步推进无组织排放精细化管控，将电解、熔铸两大核心生产工序作为无组织烟气管控重点对象，从工艺操作规程、现场作业管理、设备密闭集气、人员实操培训多维度落实管控举措。一方面持续优化现场工艺管理制度，修订完善电解槽捞炭渣、阳极更换作业等专项操作规程，进一步规范现场作业行为；另一方面严控电解槽开槽作业环节，捞碳渣、阳极取样分析作业时，尽可能减少电解槽槽罩开启数量，同时通过技能培训提升操作人员作业效率，加快换极作业节奏，压缩开槽持续时间，从源头上减少无组织烟气逸散。此外，公司定期开展厂区无组织排放巡检排查，对设备密封点、集气罩、物料转运环节开展隐患排查，及时整改跑冒滴漏问题，全方位降低无组织污染物外溢风险。</w:t>
      </w:r>
    </w:p>
    <w:p w14:paraId="5BC67EAD">
      <w:pPr>
        <w:keepNext w:val="0"/>
        <w:keepLines w:val="0"/>
        <w:pageBreakBefore w:val="0"/>
        <w:widowControl w:val="0"/>
        <w:tabs>
          <w:tab w:val="left" w:pos="1700"/>
        </w:tabs>
        <w:kinsoku/>
        <w:wordWrap/>
        <w:overflowPunct/>
        <w:topLinePunct w:val="0"/>
        <w:autoSpaceDE/>
        <w:autoSpaceDN/>
        <w:bidi w:val="0"/>
        <w:adjustRightInd/>
        <w:snapToGrid/>
        <w:spacing w:line="540" w:lineRule="exact"/>
        <w:ind w:firstLine="640"/>
        <w:textAlignment w:val="auto"/>
        <w:rPr>
          <w:rFonts w:hint="eastAsia" w:ascii="黑体" w:hAnsi="黑体" w:eastAsia="黑体" w:cs="黑体"/>
          <w:color w:val="auto"/>
          <w:sz w:val="30"/>
          <w:szCs w:val="30"/>
          <w:highlight w:val="none"/>
          <w:lang w:val="en-US" w:eastAsia="zh-CN"/>
        </w:rPr>
      </w:pPr>
      <w:r>
        <w:rPr>
          <w:rFonts w:hint="eastAsia" w:ascii="黑体" w:hAnsi="黑体" w:eastAsia="黑体" w:cs="黑体"/>
          <w:color w:val="auto"/>
          <w:sz w:val="30"/>
          <w:szCs w:val="30"/>
          <w:highlight w:val="none"/>
          <w:lang w:val="en-US" w:eastAsia="zh-CN"/>
        </w:rPr>
        <w:t>（二）减排技改项目计划</w:t>
      </w:r>
    </w:p>
    <w:p w14:paraId="6DA70E83">
      <w:pPr>
        <w:keepNext w:val="0"/>
        <w:keepLines w:val="0"/>
        <w:pageBreakBefore w:val="0"/>
        <w:widowControl w:val="0"/>
        <w:tabs>
          <w:tab w:val="left" w:pos="1700"/>
        </w:tabs>
        <w:kinsoku/>
        <w:wordWrap/>
        <w:overflowPunct/>
        <w:topLinePunct w:val="0"/>
        <w:autoSpaceDE/>
        <w:autoSpaceDN/>
        <w:bidi w:val="0"/>
        <w:adjustRightInd/>
        <w:snapToGrid/>
        <w:spacing w:line="540" w:lineRule="exact"/>
        <w:ind w:firstLine="640"/>
        <w:textAlignment w:val="auto"/>
        <w:rPr>
          <w:rFonts w:hint="default"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b/>
          <w:bCs/>
          <w:color w:val="auto"/>
          <w:sz w:val="30"/>
          <w:szCs w:val="30"/>
          <w:highlight w:val="none"/>
          <w:lang w:val="en-US" w:eastAsia="zh-CN"/>
        </w:rPr>
        <w:t>短期计划：</w:t>
      </w:r>
      <w:r>
        <w:rPr>
          <w:rFonts w:hint="default" w:ascii="仿宋_GB2312" w:hAnsi="仿宋_GB2312" w:eastAsia="仿宋_GB2312" w:cs="仿宋_GB2312"/>
          <w:color w:val="auto"/>
          <w:sz w:val="30"/>
          <w:szCs w:val="30"/>
          <w:highlight w:val="none"/>
          <w:lang w:val="en-US" w:eastAsia="zh-CN"/>
        </w:rPr>
        <w:t>为进一步挖掘企业大气污染物减排潜力，持续提升厂区废气收集处理能力，公司计划 2026 年实施熔铸生产线升级技术改造项目。本次技改聚焦炒渣房烟尘收集治理短板，立足现有设备基础，在原有 1 台除尘设备的基础上，新增配置 1 台除尘器，升级完善炒渣房烟气捕集管网系统，强化作业区域烟尘密闭收集能力，提升整体集气除尘治理效果。经技术方案保守测算，项目建成投运后，每年可实现无组织烟尘减排 0.8 吨，有效改善炒渣房及周边区域无组织烟尘逸散问题。</w:t>
      </w:r>
    </w:p>
    <w:p w14:paraId="43595F32">
      <w:pPr>
        <w:keepNext w:val="0"/>
        <w:keepLines w:val="0"/>
        <w:pageBreakBefore w:val="0"/>
        <w:widowControl w:val="0"/>
        <w:tabs>
          <w:tab w:val="left" w:pos="1700"/>
        </w:tabs>
        <w:kinsoku/>
        <w:wordWrap/>
        <w:overflowPunct/>
        <w:topLinePunct w:val="0"/>
        <w:autoSpaceDE/>
        <w:autoSpaceDN/>
        <w:bidi w:val="0"/>
        <w:adjustRightInd/>
        <w:snapToGrid/>
        <w:spacing w:line="540" w:lineRule="exact"/>
        <w:ind w:firstLine="640"/>
        <w:textAlignment w:val="auto"/>
        <w:rPr>
          <w:rFonts w:hint="default"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b/>
          <w:bCs/>
          <w:color w:val="auto"/>
          <w:sz w:val="30"/>
          <w:szCs w:val="30"/>
          <w:highlight w:val="none"/>
          <w:lang w:val="en-US" w:eastAsia="zh-CN"/>
        </w:rPr>
        <w:t>长期计划：</w:t>
      </w:r>
      <w:r>
        <w:rPr>
          <w:rFonts w:hint="default" w:ascii="仿宋_GB2312" w:hAnsi="仿宋_GB2312" w:eastAsia="仿宋_GB2312" w:cs="仿宋_GB2312"/>
          <w:color w:val="auto"/>
          <w:sz w:val="30"/>
          <w:szCs w:val="30"/>
          <w:highlight w:val="none"/>
          <w:lang w:val="en-US" w:eastAsia="zh-CN"/>
        </w:rPr>
        <w:t>下一步，南平铝业将持续压实环保主体责任，统筹生产发展与污染治理，持续完善大气污染防控体系，</w:t>
      </w:r>
      <w:r>
        <w:rPr>
          <w:rFonts w:hint="eastAsia" w:ascii="仿宋_GB2312" w:hAnsi="仿宋_GB2312" w:eastAsia="仿宋_GB2312" w:cs="仿宋_GB2312"/>
          <w:color w:val="auto"/>
          <w:sz w:val="30"/>
          <w:szCs w:val="30"/>
          <w:highlight w:val="none"/>
          <w:lang w:val="en-US" w:eastAsia="zh-CN"/>
        </w:rPr>
        <w:t>关注各工序无组织烟气治理工作，</w:t>
      </w:r>
      <w:r>
        <w:rPr>
          <w:rFonts w:hint="default" w:ascii="仿宋_GB2312" w:hAnsi="仿宋_GB2312" w:eastAsia="仿宋_GB2312" w:cs="仿宋_GB2312"/>
          <w:color w:val="auto"/>
          <w:sz w:val="30"/>
          <w:szCs w:val="30"/>
          <w:highlight w:val="none"/>
          <w:lang w:val="en-US" w:eastAsia="zh-CN"/>
        </w:rPr>
        <w:t>做好现有环保设施运维，有序推进技改项目落地实施，常态化开展排放数据复盘分析，不断提升企业大气污染防治水平，助力区域生态环境质量持续向好。</w:t>
      </w:r>
    </w:p>
    <w:p w14:paraId="14059E40">
      <w:pPr>
        <w:pStyle w:val="4"/>
        <w:keepNext w:val="0"/>
        <w:keepLines w:val="0"/>
        <w:pageBreakBefore w:val="0"/>
        <w:widowControl/>
        <w:suppressLineNumbers w:val="0"/>
        <w:kinsoku/>
        <w:wordWrap/>
        <w:overflowPunct/>
        <w:topLinePunct w:val="0"/>
        <w:autoSpaceDE/>
        <w:autoSpaceDN/>
        <w:bidi w:val="0"/>
        <w:adjustRightInd/>
        <w:spacing w:beforeAutospacing="0" w:afterAutospacing="0" w:line="560" w:lineRule="exact"/>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二、水方面</w:t>
      </w:r>
    </w:p>
    <w:p w14:paraId="1D159A52">
      <w:pPr>
        <w:pStyle w:val="4"/>
        <w:keepNext w:val="0"/>
        <w:keepLines w:val="0"/>
        <w:pageBreakBefore w:val="0"/>
        <w:widowControl/>
        <w:suppressLineNumbers w:val="0"/>
        <w:kinsoku/>
        <w:wordWrap/>
        <w:overflowPunct/>
        <w:topLinePunct w:val="0"/>
        <w:autoSpaceDE/>
        <w:autoSpaceDN/>
        <w:bidi w:val="0"/>
        <w:adjustRightInd/>
        <w:spacing w:beforeAutospacing="0" w:afterAutospacing="0"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水污染治理及水资源循环利用工作开展情况</w:t>
      </w:r>
    </w:p>
    <w:p w14:paraId="23C57FEB">
      <w:pPr>
        <w:pStyle w:val="5"/>
        <w:keepNext w:val="0"/>
        <w:keepLines w:val="0"/>
        <w:pageBreakBefore w:val="0"/>
        <w:widowControl/>
        <w:suppressLineNumbers w:val="0"/>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sz w:val="32"/>
          <w:szCs w:val="32"/>
        </w:rPr>
        <w:t>公司结合铝加工生产工艺流程特点，废水来源主要涵盖型材表面处理清洗废水等。针对不同来源废水水质差异，公司实施分类分质收集、</w:t>
      </w:r>
      <w:r>
        <w:rPr>
          <w:rFonts w:hint="eastAsia" w:ascii="仿宋_GB2312" w:hAnsi="仿宋_GB2312" w:eastAsia="仿宋_GB2312" w:cs="仿宋_GB2312"/>
          <w:sz w:val="32"/>
          <w:szCs w:val="32"/>
          <w:lang w:eastAsia="zh-CN"/>
        </w:rPr>
        <w:t>分类处理</w:t>
      </w:r>
      <w:r>
        <w:rPr>
          <w:rFonts w:hint="eastAsia" w:ascii="仿宋_GB2312" w:hAnsi="仿宋_GB2312" w:eastAsia="仿宋_GB2312" w:cs="仿宋_GB2312"/>
          <w:sz w:val="32"/>
          <w:szCs w:val="32"/>
        </w:rPr>
        <w:t>处理的治理思路，重点强化型材清洗废水的精细化处理管控。对废水中悬浮物、石油类、有机污染物、氟化物等特征污染物进行高效去除，提升出水水质稳定性。</w:t>
      </w:r>
      <w:r>
        <w:rPr>
          <w:rFonts w:hint="eastAsia" w:ascii="仿宋_GB2312" w:hAnsi="仿宋_GB2312" w:eastAsia="仿宋_GB2312" w:cs="仿宋_GB2312"/>
          <w:b w:val="0"/>
          <w:bCs w:val="0"/>
          <w:sz w:val="32"/>
          <w:szCs w:val="32"/>
        </w:rPr>
        <w:t>大力推进</w:t>
      </w:r>
      <w:r>
        <w:rPr>
          <w:rStyle w:val="8"/>
          <w:rFonts w:hint="eastAsia" w:ascii="仿宋_GB2312" w:hAnsi="仿宋_GB2312" w:eastAsia="仿宋_GB2312" w:cs="仿宋_GB2312"/>
          <w:b w:val="0"/>
          <w:bCs w:val="0"/>
          <w:sz w:val="32"/>
          <w:szCs w:val="32"/>
        </w:rPr>
        <w:t>水循环系统</w:t>
      </w:r>
      <w:r>
        <w:rPr>
          <w:rFonts w:hint="eastAsia" w:ascii="仿宋_GB2312" w:hAnsi="仿宋_GB2312" w:eastAsia="仿宋_GB2312" w:cs="仿宋_GB2312"/>
          <w:b w:val="0"/>
          <w:bCs w:val="0"/>
          <w:sz w:val="32"/>
          <w:szCs w:val="32"/>
        </w:rPr>
        <w:t>建设，将经深度处理达标的再生水优先回用于生产环节工序，最大限度提高废水回用率，持续降低新鲜水取水量，从源头减少外排废水总量。</w:t>
      </w:r>
    </w:p>
    <w:p w14:paraId="78BD611F">
      <w:pPr>
        <w:pStyle w:val="5"/>
        <w:keepNext w:val="0"/>
        <w:keepLines w:val="0"/>
        <w:pageBreakBefore w:val="0"/>
        <w:widowControl/>
        <w:suppressLineNumbers w:val="0"/>
        <w:kinsoku/>
        <w:wordWrap/>
        <w:overflowPunct/>
        <w:topLinePunct w:val="0"/>
        <w:autoSpaceDE/>
        <w:autoSpaceDN/>
        <w:bidi w:val="0"/>
        <w:adjustRightIn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时不断健全水环境日常管理制度：落实废水处理设施专人值守制度，做好药剂投加、设备保养、沉淀池清淤等运维工作；严格执行自行监测方案，依托在线监测设备+手工定期监测相结合模式，对总排口氨氮、化学需氧量、悬浮物、石油类、氟化物等指标开展常态化监控；强化管网巡检，定期排查生产废水收集管网、初期雨水收集系统，严防跑冒滴漏、生产废水混入雨水管网等环境风险，保障废水总排放口各项指标持续稳定满足排污许可限值要求。</w:t>
      </w:r>
    </w:p>
    <w:p w14:paraId="64B61C7A">
      <w:pPr>
        <w:pStyle w:val="4"/>
        <w:keepNext w:val="0"/>
        <w:keepLines w:val="0"/>
        <w:pageBreakBefore w:val="0"/>
        <w:widowControl/>
        <w:suppressLineNumbers w:val="0"/>
        <w:kinsoku/>
        <w:wordWrap/>
        <w:overflowPunct/>
        <w:topLinePunct w:val="0"/>
        <w:autoSpaceDE/>
        <w:autoSpaceDN/>
        <w:bidi w:val="0"/>
        <w:adjustRightInd/>
        <w:spacing w:beforeAutospacing="0" w:afterAutospacing="0"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水污染物减排工作计划</w:t>
      </w:r>
    </w:p>
    <w:p w14:paraId="2C6366CB">
      <w:pPr>
        <w:pStyle w:val="5"/>
        <w:keepNext w:val="0"/>
        <w:keepLines w:val="0"/>
        <w:pageBreakBefore w:val="0"/>
        <w:widowControl/>
        <w:suppressLineNumbers w:val="0"/>
        <w:kinsoku/>
        <w:wordWrap/>
        <w:overflowPunct/>
        <w:topLinePunct w:val="0"/>
        <w:autoSpaceDE/>
        <w:autoSpaceDN/>
        <w:bidi w:val="0"/>
        <w:adjustRightInd/>
        <w:spacing w:beforeAutospacing="0" w:afterAutospacing="0"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短期计划：</w:t>
      </w:r>
      <w:r>
        <w:rPr>
          <w:rFonts w:hint="eastAsia" w:ascii="仿宋_GB2312" w:hAnsi="仿宋_GB2312" w:eastAsia="仿宋_GB2312" w:cs="仿宋_GB2312"/>
          <w:sz w:val="32"/>
          <w:szCs w:val="32"/>
        </w:rPr>
        <w:t>为进一步深挖水污染治理减排潜力，补齐部分工序高浓度废水处理短板，2026 年公司将，聚焦喷涂工序生产产生的高浓度 COD 废水开展工艺研究与治理优化。喷涂工序产生的废水有机物负荷相对较高，是公司废水管控的重点难点环节。公司将组织工艺、环保技术人员开展技术调研论证，对比多种处理工艺，研究制定喷涂高浓度 COD 废水优化处理实施方案，针对性提升该股废水预处理降解能力，降低进入综合废水系统的有机污染负荷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预计2026年减少COD排放1吨</w:t>
      </w:r>
      <w:r>
        <w:rPr>
          <w:rFonts w:hint="eastAsia" w:ascii="仿宋_GB2312" w:hAnsi="仿宋_GB2312" w:eastAsia="仿宋_GB2312" w:cs="仿宋_GB2312"/>
          <w:sz w:val="32"/>
          <w:szCs w:val="32"/>
        </w:rPr>
        <w:t>。</w:t>
      </w:r>
    </w:p>
    <w:p w14:paraId="19A669B5">
      <w:pPr>
        <w:pStyle w:val="5"/>
        <w:keepNext w:val="0"/>
        <w:keepLines w:val="0"/>
        <w:pageBreakBefore w:val="0"/>
        <w:widowControl/>
        <w:suppressLineNumbers w:val="0"/>
        <w:kinsoku/>
        <w:wordWrap/>
        <w:overflowPunct/>
        <w:topLinePunct w:val="0"/>
        <w:autoSpaceDE/>
        <w:autoSpaceDN/>
        <w:bidi w:val="0"/>
        <w:adjustRightInd/>
        <w:spacing w:beforeAutospacing="0" w:afterAutospacing="0" w:line="560" w:lineRule="exact"/>
        <w:ind w:firstLine="643"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长期计划：</w:t>
      </w:r>
      <w:r>
        <w:rPr>
          <w:rFonts w:hint="eastAsia" w:ascii="仿宋_GB2312" w:hAnsi="仿宋_GB2312" w:eastAsia="仿宋_GB2312" w:cs="仿宋_GB2312"/>
          <w:b w:val="0"/>
          <w:bCs w:val="0"/>
          <w:sz w:val="32"/>
          <w:szCs w:val="32"/>
          <w:lang w:val="en-US" w:eastAsia="zh-CN"/>
        </w:rPr>
        <w:t>持续开展水污染方面减污治理工作，推进废水循环利用、及先进处理工艺，持续减少废水污染物排放。聚焦熔炼冷却废水、清洗废水的精细化处理，推广纳米过滤、反渗透等深度处理技术，去除废水中的重金属和有机物。此外，会建立闭环水循环系统，将处理后的废水用于原料清洗、设备冷却等环节，减少新鲜水消耗，同时探索废水中余热回收技术，实现治水与节能的协同。</w:t>
      </w:r>
    </w:p>
    <w:p w14:paraId="43A63C16">
      <w:pPr>
        <w:pStyle w:val="5"/>
        <w:keepNext w:val="0"/>
        <w:keepLines w:val="0"/>
        <w:pageBreakBefore w:val="0"/>
        <w:widowControl/>
        <w:suppressLineNumbers w:val="0"/>
        <w:kinsoku/>
        <w:wordWrap/>
        <w:overflowPunct/>
        <w:topLinePunct w:val="0"/>
        <w:autoSpaceDE/>
        <w:autoSpaceDN/>
        <w:bidi w:val="0"/>
        <w:adjustRightInd/>
        <w:spacing w:beforeAutospacing="0" w:afterAutospacing="0" w:line="560" w:lineRule="exact"/>
        <w:ind w:firstLine="640" w:firstLineChars="200"/>
        <w:textAlignment w:val="auto"/>
        <w:rPr>
          <w:rFonts w:hint="default" w:ascii="仿宋_GB2312" w:hAnsi="仿宋_GB2312" w:eastAsia="仿宋_GB2312" w:cs="仿宋_GB2312"/>
          <w:b w:val="0"/>
          <w:bCs w:val="0"/>
          <w:sz w:val="32"/>
          <w:szCs w:val="32"/>
          <w:lang w:val="en-US" w:eastAsia="zh-CN"/>
        </w:rPr>
      </w:pPr>
    </w:p>
    <w:p w14:paraId="13CBF672"/>
    <w:p w14:paraId="3334B4BF"/>
    <w:p w14:paraId="42DE8197"/>
    <w:p w14:paraId="6543218F"/>
    <w:p w14:paraId="72F1C072"/>
    <w:p w14:paraId="26A460FD"/>
    <w:p w14:paraId="1986CFAC"/>
    <w:p w14:paraId="66C3905F"/>
    <w:p w14:paraId="1E0000E4"/>
    <w:p w14:paraId="46F11EEF"/>
    <w:p w14:paraId="27511379"/>
    <w:p w14:paraId="6D805F5A">
      <w:pPr>
        <w:sectPr>
          <w:pgSz w:w="11906" w:h="16838"/>
          <w:pgMar w:top="1440" w:right="1800" w:bottom="1440" w:left="1800" w:header="851" w:footer="992" w:gutter="0"/>
          <w:cols w:space="425" w:num="1"/>
          <w:docGrid w:type="lines" w:linePitch="312" w:charSpace="0"/>
        </w:sectPr>
      </w:pPr>
    </w:p>
    <w:p w14:paraId="631596CE"/>
    <w:tbl>
      <w:tblPr>
        <w:tblStyle w:val="6"/>
        <w:tblpPr w:leftFromText="180" w:rightFromText="180" w:vertAnchor="text" w:horzAnchor="page" w:tblpXSpec="center" w:tblpY="703"/>
        <w:tblOverlap w:val="never"/>
        <w:tblW w:w="153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2"/>
        <w:gridCol w:w="957"/>
        <w:gridCol w:w="2550"/>
        <w:gridCol w:w="1068"/>
        <w:gridCol w:w="2042"/>
        <w:gridCol w:w="2023"/>
        <w:gridCol w:w="1993"/>
        <w:gridCol w:w="1929"/>
        <w:gridCol w:w="2036"/>
      </w:tblGrid>
      <w:tr w14:paraId="0F984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320" w:type="dxa"/>
            <w:gridSpan w:val="9"/>
            <w:vMerge w:val="restart"/>
            <w:tcBorders>
              <w:top w:val="single" w:color="000000" w:sz="4" w:space="0"/>
              <w:left w:val="single" w:color="000000" w:sz="4" w:space="0"/>
              <w:bottom w:val="single" w:color="000000" w:sz="4" w:space="0"/>
              <w:right w:val="single" w:color="000000" w:sz="4" w:space="0"/>
            </w:tcBorders>
            <w:noWrap/>
            <w:vAlign w:val="center"/>
          </w:tcPr>
          <w:p w14:paraId="43540923">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福建省南平铝业股份有限公司大气污染物、水污染物减排计划</w:t>
            </w:r>
          </w:p>
        </w:tc>
      </w:tr>
      <w:tr w14:paraId="2CD53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320" w:type="dxa"/>
            <w:gridSpan w:val="9"/>
            <w:vMerge w:val="continue"/>
            <w:tcBorders>
              <w:top w:val="single" w:color="000000" w:sz="4" w:space="0"/>
              <w:left w:val="single" w:color="000000" w:sz="4" w:space="0"/>
              <w:bottom w:val="single" w:color="000000" w:sz="4" w:space="0"/>
              <w:right w:val="single" w:color="000000" w:sz="4" w:space="0"/>
            </w:tcBorders>
            <w:noWrap/>
            <w:vAlign w:val="center"/>
          </w:tcPr>
          <w:p w14:paraId="4035C64B">
            <w:pPr>
              <w:jc w:val="center"/>
              <w:rPr>
                <w:rFonts w:hint="eastAsia" w:ascii="宋体" w:hAnsi="宋体" w:eastAsia="宋体" w:cs="宋体"/>
                <w:b/>
                <w:bCs/>
                <w:i w:val="0"/>
                <w:iCs w:val="0"/>
                <w:color w:val="000000"/>
                <w:sz w:val="40"/>
                <w:szCs w:val="40"/>
                <w:u w:val="none"/>
              </w:rPr>
            </w:pPr>
          </w:p>
        </w:tc>
      </w:tr>
      <w:tr w14:paraId="4E3B0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320" w:type="dxa"/>
            <w:gridSpan w:val="9"/>
            <w:vMerge w:val="continue"/>
            <w:tcBorders>
              <w:top w:val="single" w:color="000000" w:sz="4" w:space="0"/>
              <w:left w:val="single" w:color="000000" w:sz="4" w:space="0"/>
              <w:bottom w:val="single" w:color="000000" w:sz="4" w:space="0"/>
              <w:right w:val="single" w:color="000000" w:sz="4" w:space="0"/>
            </w:tcBorders>
            <w:noWrap/>
            <w:vAlign w:val="center"/>
          </w:tcPr>
          <w:p w14:paraId="6FD46A93">
            <w:pPr>
              <w:jc w:val="center"/>
              <w:rPr>
                <w:rFonts w:hint="eastAsia" w:ascii="宋体" w:hAnsi="宋体" w:eastAsia="宋体" w:cs="宋体"/>
                <w:b/>
                <w:bCs/>
                <w:i w:val="0"/>
                <w:iCs w:val="0"/>
                <w:color w:val="000000"/>
                <w:sz w:val="40"/>
                <w:szCs w:val="40"/>
                <w:u w:val="none"/>
              </w:rPr>
            </w:pPr>
          </w:p>
        </w:tc>
      </w:tr>
      <w:tr w14:paraId="142EC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2" w:type="dxa"/>
            <w:tcBorders>
              <w:top w:val="single" w:color="000000" w:sz="4" w:space="0"/>
              <w:left w:val="single" w:color="000000" w:sz="4" w:space="0"/>
              <w:bottom w:val="single" w:color="000000" w:sz="4" w:space="0"/>
              <w:right w:val="single" w:color="000000" w:sz="4" w:space="0"/>
            </w:tcBorders>
            <w:noWrap/>
            <w:vAlign w:val="center"/>
          </w:tcPr>
          <w:p w14:paraId="7040E8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957" w:type="dxa"/>
            <w:tcBorders>
              <w:top w:val="single" w:color="000000" w:sz="4" w:space="0"/>
              <w:left w:val="single" w:color="000000" w:sz="4" w:space="0"/>
              <w:bottom w:val="single" w:color="000000" w:sz="4" w:space="0"/>
              <w:right w:val="single" w:color="000000" w:sz="4" w:space="0"/>
            </w:tcBorders>
            <w:noWrap/>
            <w:vAlign w:val="center"/>
          </w:tcPr>
          <w:p w14:paraId="50A16F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排放源</w:t>
            </w:r>
          </w:p>
        </w:tc>
        <w:tc>
          <w:tcPr>
            <w:tcW w:w="2550" w:type="dxa"/>
            <w:tcBorders>
              <w:top w:val="single" w:color="000000" w:sz="4" w:space="0"/>
              <w:left w:val="single" w:color="000000" w:sz="4" w:space="0"/>
              <w:bottom w:val="single" w:color="000000" w:sz="4" w:space="0"/>
              <w:right w:val="single" w:color="000000" w:sz="4" w:space="0"/>
            </w:tcBorders>
            <w:noWrap/>
            <w:vAlign w:val="center"/>
          </w:tcPr>
          <w:p w14:paraId="0698BD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管理目标</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4C7B4D80">
            <w:pPr>
              <w:jc w:val="center"/>
              <w:rPr>
                <w:rFonts w:hint="eastAsia" w:ascii="宋体" w:hAnsi="宋体" w:eastAsia="宋体" w:cs="宋体"/>
                <w:i w:val="0"/>
                <w:iCs w:val="0"/>
                <w:color w:val="000000"/>
                <w:sz w:val="22"/>
                <w:szCs w:val="22"/>
                <w:u w:val="none"/>
              </w:rPr>
            </w:pPr>
          </w:p>
        </w:tc>
        <w:tc>
          <w:tcPr>
            <w:tcW w:w="10023" w:type="dxa"/>
            <w:gridSpan w:val="5"/>
            <w:tcBorders>
              <w:top w:val="single" w:color="000000" w:sz="4" w:space="0"/>
              <w:left w:val="single" w:color="000000" w:sz="4" w:space="0"/>
              <w:bottom w:val="single" w:color="000000" w:sz="4" w:space="0"/>
              <w:right w:val="single" w:color="000000" w:sz="4" w:space="0"/>
            </w:tcBorders>
            <w:noWrap/>
            <w:vAlign w:val="center"/>
          </w:tcPr>
          <w:p w14:paraId="24D54C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减排目标</w:t>
            </w:r>
          </w:p>
        </w:tc>
      </w:tr>
      <w:tr w14:paraId="7B9E0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2" w:type="dxa"/>
            <w:tcBorders>
              <w:top w:val="single" w:color="000000" w:sz="4" w:space="0"/>
              <w:left w:val="single" w:color="000000" w:sz="4" w:space="0"/>
              <w:bottom w:val="single" w:color="000000" w:sz="4" w:space="0"/>
              <w:right w:val="single" w:color="000000" w:sz="4" w:space="0"/>
            </w:tcBorders>
            <w:noWrap/>
            <w:vAlign w:val="center"/>
          </w:tcPr>
          <w:p w14:paraId="6E4B070C">
            <w:pPr>
              <w:rPr>
                <w:rFonts w:hint="eastAsia" w:ascii="宋体" w:hAnsi="宋体" w:eastAsia="宋体" w:cs="宋体"/>
                <w:i w:val="0"/>
                <w:iCs w:val="0"/>
                <w:color w:val="000000"/>
                <w:sz w:val="22"/>
                <w:szCs w:val="22"/>
                <w:u w:val="none"/>
              </w:rPr>
            </w:pPr>
          </w:p>
        </w:tc>
        <w:tc>
          <w:tcPr>
            <w:tcW w:w="957" w:type="dxa"/>
            <w:vMerge w:val="restart"/>
            <w:tcBorders>
              <w:top w:val="single" w:color="000000" w:sz="4" w:space="0"/>
              <w:left w:val="single" w:color="000000" w:sz="4" w:space="0"/>
              <w:bottom w:val="single" w:color="000000" w:sz="4" w:space="0"/>
              <w:right w:val="single" w:color="000000" w:sz="4" w:space="0"/>
            </w:tcBorders>
            <w:noWrap/>
            <w:vAlign w:val="center"/>
          </w:tcPr>
          <w:p w14:paraId="01AE07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废气</w:t>
            </w:r>
          </w:p>
        </w:tc>
        <w:tc>
          <w:tcPr>
            <w:tcW w:w="2550" w:type="dxa"/>
            <w:tcBorders>
              <w:top w:val="single" w:color="000000" w:sz="4" w:space="0"/>
              <w:left w:val="single" w:color="000000" w:sz="4" w:space="0"/>
              <w:bottom w:val="single" w:color="000000" w:sz="4" w:space="0"/>
              <w:right w:val="single" w:color="000000" w:sz="4" w:space="0"/>
            </w:tcBorders>
            <w:noWrap/>
            <w:vAlign w:val="center"/>
          </w:tcPr>
          <w:p w14:paraId="37B0DCF7">
            <w:pPr>
              <w:rPr>
                <w:rFonts w:hint="eastAsia" w:ascii="宋体" w:hAnsi="宋体" w:eastAsia="宋体" w:cs="宋体"/>
                <w:i w:val="0"/>
                <w:iCs w:val="0"/>
                <w:color w:val="000000"/>
                <w:sz w:val="22"/>
                <w:szCs w:val="22"/>
                <w:u w:val="none"/>
              </w:rPr>
            </w:pP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06CF5D34">
            <w:pPr>
              <w:rPr>
                <w:rFonts w:hint="eastAsia" w:ascii="宋体" w:hAnsi="宋体" w:eastAsia="宋体" w:cs="宋体"/>
                <w:i w:val="0"/>
                <w:iCs w:val="0"/>
                <w:color w:val="000000"/>
                <w:sz w:val="22"/>
                <w:szCs w:val="22"/>
                <w:u w:val="none"/>
              </w:rPr>
            </w:pPr>
          </w:p>
        </w:tc>
        <w:tc>
          <w:tcPr>
            <w:tcW w:w="2042" w:type="dxa"/>
            <w:tcBorders>
              <w:top w:val="single" w:color="000000" w:sz="4" w:space="0"/>
              <w:left w:val="single" w:color="000000" w:sz="4" w:space="0"/>
              <w:bottom w:val="single" w:color="000000" w:sz="4" w:space="0"/>
              <w:right w:val="single" w:color="000000" w:sz="4" w:space="0"/>
            </w:tcBorders>
            <w:noWrap/>
            <w:vAlign w:val="center"/>
          </w:tcPr>
          <w:p w14:paraId="388300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w:t>
            </w:r>
          </w:p>
        </w:tc>
        <w:tc>
          <w:tcPr>
            <w:tcW w:w="2023" w:type="dxa"/>
            <w:tcBorders>
              <w:top w:val="single" w:color="000000" w:sz="4" w:space="0"/>
              <w:left w:val="single" w:color="000000" w:sz="4" w:space="0"/>
              <w:bottom w:val="single" w:color="000000" w:sz="4" w:space="0"/>
              <w:right w:val="single" w:color="000000" w:sz="4" w:space="0"/>
            </w:tcBorders>
            <w:noWrap/>
            <w:vAlign w:val="center"/>
          </w:tcPr>
          <w:p w14:paraId="40FAB5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2024年</w:t>
            </w:r>
          </w:p>
        </w:tc>
        <w:tc>
          <w:tcPr>
            <w:tcW w:w="1993" w:type="dxa"/>
            <w:tcBorders>
              <w:top w:val="single" w:color="000000" w:sz="4" w:space="0"/>
              <w:left w:val="single" w:color="000000" w:sz="4" w:space="0"/>
              <w:bottom w:val="single" w:color="000000" w:sz="4" w:space="0"/>
              <w:right w:val="single" w:color="000000" w:sz="4" w:space="0"/>
            </w:tcBorders>
            <w:noWrap/>
            <w:vAlign w:val="center"/>
          </w:tcPr>
          <w:p w14:paraId="318F98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w:t>
            </w:r>
          </w:p>
        </w:tc>
        <w:tc>
          <w:tcPr>
            <w:tcW w:w="1929" w:type="dxa"/>
            <w:tcBorders>
              <w:top w:val="single" w:color="000000" w:sz="4" w:space="0"/>
              <w:left w:val="single" w:color="000000" w:sz="4" w:space="0"/>
              <w:bottom w:val="single" w:color="000000" w:sz="4" w:space="0"/>
              <w:right w:val="single" w:color="000000" w:sz="4" w:space="0"/>
            </w:tcBorders>
            <w:noWrap/>
            <w:vAlign w:val="center"/>
          </w:tcPr>
          <w:p w14:paraId="60C9E8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2026年</w:t>
            </w:r>
          </w:p>
        </w:tc>
        <w:tc>
          <w:tcPr>
            <w:tcW w:w="2036" w:type="dxa"/>
            <w:tcBorders>
              <w:top w:val="single" w:color="000000" w:sz="4" w:space="0"/>
              <w:left w:val="single" w:color="000000" w:sz="4" w:space="0"/>
              <w:bottom w:val="single" w:color="000000" w:sz="4" w:space="0"/>
              <w:right w:val="single" w:color="000000" w:sz="4" w:space="0"/>
            </w:tcBorders>
            <w:noWrap/>
            <w:vAlign w:val="center"/>
          </w:tcPr>
          <w:p w14:paraId="195B37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2027年</w:t>
            </w:r>
          </w:p>
        </w:tc>
      </w:tr>
      <w:tr w14:paraId="286BF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jc w:val="center"/>
        </w:trPr>
        <w:tc>
          <w:tcPr>
            <w:tcW w:w="722" w:type="dxa"/>
            <w:vMerge w:val="restart"/>
            <w:tcBorders>
              <w:top w:val="single" w:color="000000" w:sz="4" w:space="0"/>
              <w:left w:val="single" w:color="000000" w:sz="4" w:space="0"/>
              <w:bottom w:val="single" w:color="000000" w:sz="4" w:space="0"/>
              <w:right w:val="single" w:color="000000" w:sz="4" w:space="0"/>
            </w:tcBorders>
            <w:noWrap/>
            <w:vAlign w:val="center"/>
          </w:tcPr>
          <w:p w14:paraId="191AFC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57" w:type="dxa"/>
            <w:vMerge w:val="continue"/>
            <w:tcBorders>
              <w:top w:val="single" w:color="000000" w:sz="4" w:space="0"/>
              <w:left w:val="single" w:color="000000" w:sz="4" w:space="0"/>
              <w:bottom w:val="single" w:color="000000" w:sz="4" w:space="0"/>
              <w:right w:val="single" w:color="000000" w:sz="4" w:space="0"/>
            </w:tcBorders>
            <w:noWrap/>
            <w:vAlign w:val="center"/>
          </w:tcPr>
          <w:p w14:paraId="4F36B874">
            <w:pPr>
              <w:jc w:val="center"/>
              <w:rPr>
                <w:rFonts w:hint="eastAsia" w:ascii="宋体" w:hAnsi="宋体" w:eastAsia="宋体" w:cs="宋体"/>
                <w:i w:val="0"/>
                <w:iCs w:val="0"/>
                <w:color w:val="000000"/>
                <w:sz w:val="22"/>
                <w:szCs w:val="22"/>
                <w:u w:val="none"/>
              </w:rPr>
            </w:pPr>
          </w:p>
        </w:tc>
        <w:tc>
          <w:tcPr>
            <w:tcW w:w="2550" w:type="dxa"/>
            <w:vMerge w:val="restart"/>
            <w:tcBorders>
              <w:top w:val="single" w:color="000000" w:sz="4" w:space="0"/>
              <w:left w:val="single" w:color="000000" w:sz="4" w:space="0"/>
              <w:bottom w:val="single" w:color="000000" w:sz="4" w:space="0"/>
              <w:right w:val="single" w:color="000000" w:sz="4" w:space="0"/>
            </w:tcBorders>
            <w:noWrap w:val="0"/>
            <w:vAlign w:val="center"/>
          </w:tcPr>
          <w:p w14:paraId="1FB1EF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符合环评批复的排放限值：SO2≦278.374吨,NOX</w:t>
            </w:r>
            <w:r>
              <w:rPr>
                <w:rStyle w:val="9"/>
                <w:lang w:val="en-US" w:eastAsia="zh-CN" w:bidi="ar"/>
              </w:rPr>
              <w:t>≦</w:t>
            </w:r>
            <w:r>
              <w:rPr>
                <w:rStyle w:val="10"/>
                <w:lang w:val="en-US" w:eastAsia="zh-CN" w:bidi="ar"/>
              </w:rPr>
              <w:t>120.338吨</w:t>
            </w:r>
          </w:p>
        </w:tc>
        <w:tc>
          <w:tcPr>
            <w:tcW w:w="1068" w:type="dxa"/>
            <w:tcBorders>
              <w:top w:val="single" w:color="000000" w:sz="4" w:space="0"/>
              <w:left w:val="single" w:color="000000" w:sz="4" w:space="0"/>
              <w:bottom w:val="single" w:color="000000" w:sz="4" w:space="0"/>
              <w:right w:val="single" w:color="000000" w:sz="4" w:space="0"/>
            </w:tcBorders>
            <w:noWrap/>
            <w:vAlign w:val="center"/>
          </w:tcPr>
          <w:p w14:paraId="235AD4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w:t>
            </w:r>
          </w:p>
        </w:tc>
        <w:tc>
          <w:tcPr>
            <w:tcW w:w="2042" w:type="dxa"/>
            <w:tcBorders>
              <w:top w:val="single" w:color="000000" w:sz="4" w:space="0"/>
              <w:left w:val="single" w:color="000000" w:sz="4" w:space="0"/>
              <w:bottom w:val="single" w:color="000000" w:sz="4" w:space="0"/>
              <w:right w:val="single" w:color="000000" w:sz="4" w:space="0"/>
            </w:tcBorders>
            <w:noWrap w:val="0"/>
            <w:vAlign w:val="center"/>
          </w:tcPr>
          <w:p w14:paraId="167B2C32">
            <w:pPr>
              <w:keepNext w:val="0"/>
              <w:keepLines w:val="0"/>
              <w:widowControl/>
              <w:suppressLineNumbers w:val="0"/>
              <w:jc w:val="left"/>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SO2≦278.374吨,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NOX≦120.338吨</w:t>
            </w:r>
            <w:r>
              <w:rPr>
                <w:rFonts w:hint="eastAsia" w:ascii="宋体" w:hAnsi="宋体" w:cs="宋体"/>
                <w:i w:val="0"/>
                <w:iCs w:val="0"/>
                <w:color w:val="000000"/>
                <w:kern w:val="0"/>
                <w:sz w:val="22"/>
                <w:szCs w:val="22"/>
                <w:u w:val="none"/>
                <w:lang w:val="en-US" w:eastAsia="zh-CN" w:bidi="ar"/>
              </w:rPr>
              <w:t>，</w:t>
            </w:r>
          </w:p>
          <w:p w14:paraId="637DF4CF">
            <w:pPr>
              <w:pStyle w:val="2"/>
              <w:rPr>
                <w:rFonts w:hint="eastAsia" w:ascii="宋体" w:hAnsi="宋体" w:eastAsia="宋体" w:cs="宋体"/>
                <w:i w:val="0"/>
                <w:iCs w:val="0"/>
                <w:color w:val="000000"/>
                <w:sz w:val="22"/>
                <w:szCs w:val="22"/>
                <w:u w:val="none"/>
              </w:rPr>
            </w:pPr>
            <w:r>
              <w:rPr>
                <w:rStyle w:val="10"/>
                <w:rFonts w:hint="eastAsia"/>
                <w:lang w:val="en-US" w:eastAsia="zh-CN" w:bidi="ar"/>
              </w:rPr>
              <w:t>氟化物</w:t>
            </w:r>
            <w:r>
              <w:rPr>
                <w:rStyle w:val="9"/>
                <w:lang w:val="en-US" w:eastAsia="zh-CN" w:bidi="ar"/>
              </w:rPr>
              <w:t>≦</w:t>
            </w:r>
            <w:r>
              <w:rPr>
                <w:rStyle w:val="10"/>
                <w:rFonts w:hint="eastAsia"/>
                <w:lang w:val="en-US" w:eastAsia="zh-CN" w:bidi="ar"/>
              </w:rPr>
              <w:t>27.559</w:t>
            </w:r>
            <w:r>
              <w:rPr>
                <w:rStyle w:val="10"/>
                <w:lang w:val="en-US" w:eastAsia="zh-CN" w:bidi="ar"/>
              </w:rPr>
              <w:t>吨</w:t>
            </w:r>
            <w:r>
              <w:rPr>
                <w:rStyle w:val="10"/>
                <w:rFonts w:hint="eastAsia"/>
                <w:lang w:val="en-US" w:eastAsia="zh-CN" w:bidi="ar"/>
              </w:rPr>
              <w:t>,</w:t>
            </w:r>
            <w:r>
              <w:rPr>
                <w:rFonts w:hint="eastAsia" w:ascii="宋体" w:hAnsi="宋体" w:eastAsia="宋体" w:cs="宋体"/>
                <w:color w:val="000000"/>
                <w:kern w:val="0"/>
                <w:sz w:val="21"/>
                <w:szCs w:val="21"/>
                <w:lang w:val="en-US" w:eastAsia="zh-CN" w:bidi="ar"/>
              </w:rPr>
              <w:t>颗粒物</w:t>
            </w:r>
            <w:r>
              <w:rPr>
                <w:rStyle w:val="9"/>
                <w:lang w:val="en-US" w:eastAsia="zh-CN" w:bidi="ar"/>
              </w:rPr>
              <w:t>≦</w:t>
            </w:r>
            <w:r>
              <w:rPr>
                <w:rFonts w:hint="default" w:ascii="Times New Roman" w:hAnsi="Times New Roman" w:eastAsia="宋体" w:cs="Times New Roman"/>
                <w:color w:val="000000"/>
                <w:kern w:val="0"/>
                <w:sz w:val="21"/>
                <w:szCs w:val="21"/>
                <w:lang w:val="en-US" w:eastAsia="zh-CN" w:bidi="ar"/>
              </w:rPr>
              <w:t>21</w:t>
            </w:r>
            <w:r>
              <w:rPr>
                <w:rFonts w:hint="eastAsia" w:ascii="Times New Roman" w:hAnsi="Times New Roman" w:cs="Times New Roman"/>
                <w:color w:val="000000"/>
                <w:kern w:val="0"/>
                <w:sz w:val="21"/>
                <w:szCs w:val="21"/>
                <w:lang w:val="en-US" w:eastAsia="zh-CN" w:bidi="ar"/>
              </w:rPr>
              <w:t>0</w:t>
            </w:r>
            <w:r>
              <w:rPr>
                <w:rFonts w:hint="default" w:ascii="Times New Roman" w:hAnsi="Times New Roman" w:eastAsia="宋体" w:cs="Times New Roman"/>
                <w:color w:val="000000"/>
                <w:kern w:val="0"/>
                <w:sz w:val="21"/>
                <w:szCs w:val="21"/>
                <w:lang w:val="en-US" w:eastAsia="zh-CN" w:bidi="ar"/>
              </w:rPr>
              <w:t>.836</w:t>
            </w:r>
            <w:r>
              <w:rPr>
                <w:rStyle w:val="10"/>
                <w:lang w:val="en-US" w:eastAsia="zh-CN" w:bidi="ar"/>
              </w:rPr>
              <w:t>吨</w:t>
            </w:r>
          </w:p>
        </w:tc>
        <w:tc>
          <w:tcPr>
            <w:tcW w:w="2023" w:type="dxa"/>
            <w:tcBorders>
              <w:top w:val="single" w:color="000000" w:sz="4" w:space="0"/>
              <w:left w:val="single" w:color="000000" w:sz="4" w:space="0"/>
              <w:bottom w:val="single" w:color="000000" w:sz="4" w:space="0"/>
              <w:right w:val="single" w:color="000000" w:sz="4" w:space="0"/>
            </w:tcBorders>
            <w:noWrap w:val="0"/>
            <w:vAlign w:val="center"/>
          </w:tcPr>
          <w:p w14:paraId="255BD2AE">
            <w:pPr>
              <w:keepNext w:val="0"/>
              <w:keepLines w:val="0"/>
              <w:widowControl/>
              <w:suppressLineNumbers w:val="0"/>
              <w:jc w:val="left"/>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SO2≦276.374吨,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NOX≦11</w:t>
            </w:r>
            <w:r>
              <w:rPr>
                <w:rFonts w:hint="eastAsia" w:ascii="宋体" w:hAnsi="宋体" w:cs="宋体"/>
                <w:i w:val="0"/>
                <w:iCs w:val="0"/>
                <w:color w:val="000000"/>
                <w:kern w:val="0"/>
                <w:sz w:val="22"/>
                <w:szCs w:val="22"/>
                <w:u w:val="none"/>
                <w:lang w:val="en-US" w:eastAsia="zh-CN" w:bidi="ar"/>
              </w:rPr>
              <w:t>8</w:t>
            </w:r>
            <w:r>
              <w:rPr>
                <w:rFonts w:hint="eastAsia" w:ascii="宋体" w:hAnsi="宋体" w:eastAsia="宋体" w:cs="宋体"/>
                <w:i w:val="0"/>
                <w:iCs w:val="0"/>
                <w:color w:val="000000"/>
                <w:kern w:val="0"/>
                <w:sz w:val="22"/>
                <w:szCs w:val="22"/>
                <w:u w:val="none"/>
                <w:lang w:val="en-US" w:eastAsia="zh-CN" w:bidi="ar"/>
              </w:rPr>
              <w:t>.338吨</w:t>
            </w:r>
            <w:r>
              <w:rPr>
                <w:rFonts w:hint="eastAsia" w:ascii="宋体" w:hAnsi="宋体" w:cs="宋体"/>
                <w:i w:val="0"/>
                <w:iCs w:val="0"/>
                <w:color w:val="000000"/>
                <w:kern w:val="0"/>
                <w:sz w:val="22"/>
                <w:szCs w:val="22"/>
                <w:u w:val="none"/>
                <w:lang w:val="en-US" w:eastAsia="zh-CN" w:bidi="ar"/>
              </w:rPr>
              <w:t>,</w:t>
            </w:r>
          </w:p>
          <w:p w14:paraId="23ED0A9F">
            <w:pPr>
              <w:pStyle w:val="2"/>
              <w:rPr>
                <w:rFonts w:hint="eastAsia" w:ascii="宋体" w:hAnsi="宋体" w:eastAsia="宋体" w:cs="宋体"/>
                <w:i w:val="0"/>
                <w:iCs w:val="0"/>
                <w:color w:val="000000"/>
                <w:sz w:val="22"/>
                <w:szCs w:val="22"/>
                <w:u w:val="none"/>
              </w:rPr>
            </w:pPr>
            <w:r>
              <w:rPr>
                <w:rStyle w:val="10"/>
                <w:rFonts w:hint="eastAsia"/>
                <w:lang w:val="en-US" w:eastAsia="zh-CN" w:bidi="ar"/>
              </w:rPr>
              <w:t>氟化物</w:t>
            </w:r>
            <w:r>
              <w:rPr>
                <w:rStyle w:val="9"/>
                <w:lang w:val="en-US" w:eastAsia="zh-CN" w:bidi="ar"/>
              </w:rPr>
              <w:t>≦</w:t>
            </w:r>
            <w:r>
              <w:rPr>
                <w:rStyle w:val="10"/>
                <w:rFonts w:hint="eastAsia"/>
                <w:lang w:val="en-US" w:eastAsia="zh-CN" w:bidi="ar"/>
              </w:rPr>
              <w:t>27.059</w:t>
            </w:r>
            <w:r>
              <w:rPr>
                <w:rStyle w:val="10"/>
                <w:lang w:val="en-US" w:eastAsia="zh-CN" w:bidi="ar"/>
              </w:rPr>
              <w:t>吨</w:t>
            </w:r>
            <w:r>
              <w:rPr>
                <w:rStyle w:val="10"/>
                <w:rFonts w:hint="eastAsia"/>
                <w:lang w:val="en-US" w:eastAsia="zh-CN" w:bidi="ar"/>
              </w:rPr>
              <w:t>,</w:t>
            </w:r>
            <w:r>
              <w:rPr>
                <w:rFonts w:hint="eastAsia" w:ascii="宋体" w:hAnsi="宋体" w:eastAsia="宋体" w:cs="宋体"/>
                <w:color w:val="000000"/>
                <w:kern w:val="0"/>
                <w:sz w:val="21"/>
                <w:szCs w:val="21"/>
                <w:lang w:val="en-US" w:eastAsia="zh-CN" w:bidi="ar"/>
              </w:rPr>
              <w:t>颗粒物</w:t>
            </w:r>
            <w:r>
              <w:rPr>
                <w:rStyle w:val="9"/>
                <w:lang w:val="en-US" w:eastAsia="zh-CN" w:bidi="ar"/>
              </w:rPr>
              <w:t>≦</w:t>
            </w:r>
            <w:r>
              <w:rPr>
                <w:rFonts w:hint="default" w:ascii="Times New Roman" w:hAnsi="Times New Roman" w:eastAsia="宋体" w:cs="Times New Roman"/>
                <w:color w:val="000000"/>
                <w:kern w:val="0"/>
                <w:sz w:val="21"/>
                <w:szCs w:val="21"/>
                <w:lang w:val="en-US" w:eastAsia="zh-CN" w:bidi="ar"/>
              </w:rPr>
              <w:t>2</w:t>
            </w:r>
            <w:r>
              <w:rPr>
                <w:rFonts w:hint="eastAsia" w:ascii="Times New Roman" w:hAnsi="Times New Roman" w:cs="Times New Roman"/>
                <w:color w:val="000000"/>
                <w:kern w:val="0"/>
                <w:sz w:val="21"/>
                <w:szCs w:val="21"/>
                <w:lang w:val="en-US" w:eastAsia="zh-CN" w:bidi="ar"/>
              </w:rPr>
              <w:t>09</w:t>
            </w:r>
            <w:r>
              <w:rPr>
                <w:rFonts w:hint="default" w:ascii="Times New Roman" w:hAnsi="Times New Roman" w:eastAsia="宋体" w:cs="Times New Roman"/>
                <w:color w:val="000000"/>
                <w:kern w:val="0"/>
                <w:sz w:val="21"/>
                <w:szCs w:val="21"/>
                <w:lang w:val="en-US" w:eastAsia="zh-CN" w:bidi="ar"/>
              </w:rPr>
              <w:t>.836</w:t>
            </w:r>
            <w:r>
              <w:rPr>
                <w:rStyle w:val="10"/>
                <w:lang w:val="en-US" w:eastAsia="zh-CN" w:bidi="ar"/>
              </w:rPr>
              <w:t>吨</w:t>
            </w:r>
          </w:p>
        </w:tc>
        <w:tc>
          <w:tcPr>
            <w:tcW w:w="1993" w:type="dxa"/>
            <w:tcBorders>
              <w:top w:val="single" w:color="000000" w:sz="4" w:space="0"/>
              <w:left w:val="single" w:color="000000" w:sz="4" w:space="0"/>
              <w:bottom w:val="single" w:color="000000" w:sz="4" w:space="0"/>
              <w:right w:val="single" w:color="000000" w:sz="4" w:space="0"/>
            </w:tcBorders>
            <w:noWrap w:val="0"/>
            <w:vAlign w:val="center"/>
          </w:tcPr>
          <w:p w14:paraId="2966ABC8">
            <w:pPr>
              <w:keepNext w:val="0"/>
              <w:keepLines w:val="0"/>
              <w:widowControl/>
              <w:suppressLineNumbers w:val="0"/>
              <w:jc w:val="left"/>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SO2≦274.374吨,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NOX≦11</w:t>
            </w:r>
            <w:r>
              <w:rPr>
                <w:rFonts w:hint="eastAsia" w:ascii="宋体" w:hAnsi="宋体" w:cs="宋体"/>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.338吨</w:t>
            </w:r>
            <w:r>
              <w:rPr>
                <w:rFonts w:hint="eastAsia" w:ascii="宋体" w:hAnsi="宋体" w:cs="宋体"/>
                <w:i w:val="0"/>
                <w:iCs w:val="0"/>
                <w:color w:val="000000"/>
                <w:kern w:val="0"/>
                <w:sz w:val="22"/>
                <w:szCs w:val="22"/>
                <w:u w:val="none"/>
                <w:lang w:val="en-US" w:eastAsia="zh-CN" w:bidi="ar"/>
              </w:rPr>
              <w:t>,</w:t>
            </w:r>
          </w:p>
          <w:p w14:paraId="5ABB2498">
            <w:pPr>
              <w:pStyle w:val="2"/>
              <w:rPr>
                <w:rFonts w:hint="eastAsia" w:ascii="宋体" w:hAnsi="宋体" w:eastAsia="宋体" w:cs="宋体"/>
                <w:i w:val="0"/>
                <w:iCs w:val="0"/>
                <w:color w:val="000000"/>
                <w:sz w:val="22"/>
                <w:szCs w:val="22"/>
                <w:u w:val="none"/>
              </w:rPr>
            </w:pPr>
            <w:r>
              <w:rPr>
                <w:rStyle w:val="10"/>
                <w:rFonts w:hint="eastAsia"/>
                <w:lang w:val="en-US" w:eastAsia="zh-CN" w:bidi="ar"/>
              </w:rPr>
              <w:t>氟化物</w:t>
            </w:r>
            <w:r>
              <w:rPr>
                <w:rStyle w:val="9"/>
                <w:lang w:val="en-US" w:eastAsia="zh-CN" w:bidi="ar"/>
              </w:rPr>
              <w:t>≦</w:t>
            </w:r>
            <w:r>
              <w:rPr>
                <w:rStyle w:val="10"/>
                <w:rFonts w:hint="eastAsia"/>
                <w:lang w:val="en-US" w:eastAsia="zh-CN" w:bidi="ar"/>
              </w:rPr>
              <w:t>26.559</w:t>
            </w:r>
            <w:r>
              <w:rPr>
                <w:rStyle w:val="10"/>
                <w:lang w:val="en-US" w:eastAsia="zh-CN" w:bidi="ar"/>
              </w:rPr>
              <w:t>吨</w:t>
            </w:r>
            <w:r>
              <w:rPr>
                <w:rStyle w:val="10"/>
                <w:rFonts w:hint="eastAsia"/>
                <w:lang w:val="en-US" w:eastAsia="zh-CN" w:bidi="ar"/>
              </w:rPr>
              <w:t>,</w:t>
            </w:r>
            <w:r>
              <w:rPr>
                <w:rFonts w:hint="eastAsia" w:ascii="宋体" w:hAnsi="宋体" w:eastAsia="宋体" w:cs="宋体"/>
                <w:color w:val="000000"/>
                <w:kern w:val="0"/>
                <w:sz w:val="21"/>
                <w:szCs w:val="21"/>
                <w:lang w:val="en-US" w:eastAsia="zh-CN" w:bidi="ar"/>
              </w:rPr>
              <w:t>颗粒物</w:t>
            </w:r>
            <w:r>
              <w:rPr>
                <w:rStyle w:val="9"/>
                <w:lang w:val="en-US" w:eastAsia="zh-CN" w:bidi="ar"/>
              </w:rPr>
              <w:t>≦</w:t>
            </w:r>
            <w:r>
              <w:rPr>
                <w:rFonts w:hint="default" w:ascii="Times New Roman" w:hAnsi="Times New Roman" w:eastAsia="宋体" w:cs="Times New Roman"/>
                <w:color w:val="000000"/>
                <w:kern w:val="0"/>
                <w:sz w:val="21"/>
                <w:szCs w:val="21"/>
                <w:lang w:val="en-US" w:eastAsia="zh-CN" w:bidi="ar"/>
              </w:rPr>
              <w:t>2</w:t>
            </w:r>
            <w:r>
              <w:rPr>
                <w:rFonts w:hint="eastAsia" w:ascii="Times New Roman" w:hAnsi="Times New Roman" w:cs="Times New Roman"/>
                <w:color w:val="000000"/>
                <w:kern w:val="0"/>
                <w:sz w:val="21"/>
                <w:szCs w:val="21"/>
                <w:lang w:val="en-US" w:eastAsia="zh-CN" w:bidi="ar"/>
              </w:rPr>
              <w:t>08</w:t>
            </w:r>
            <w:r>
              <w:rPr>
                <w:rFonts w:hint="default" w:ascii="Times New Roman" w:hAnsi="Times New Roman" w:eastAsia="宋体" w:cs="Times New Roman"/>
                <w:color w:val="000000"/>
                <w:kern w:val="0"/>
                <w:sz w:val="21"/>
                <w:szCs w:val="21"/>
                <w:lang w:val="en-US" w:eastAsia="zh-CN" w:bidi="ar"/>
              </w:rPr>
              <w:t>.836</w:t>
            </w:r>
            <w:r>
              <w:rPr>
                <w:rStyle w:val="10"/>
                <w:lang w:val="en-US" w:eastAsia="zh-CN" w:bidi="ar"/>
              </w:rPr>
              <w:t>吨</w:t>
            </w:r>
          </w:p>
        </w:tc>
        <w:tc>
          <w:tcPr>
            <w:tcW w:w="1929" w:type="dxa"/>
            <w:tcBorders>
              <w:top w:val="single" w:color="000000" w:sz="4" w:space="0"/>
              <w:left w:val="single" w:color="000000" w:sz="4" w:space="0"/>
              <w:bottom w:val="single" w:color="000000" w:sz="4" w:space="0"/>
              <w:right w:val="single" w:color="000000" w:sz="4" w:space="0"/>
            </w:tcBorders>
            <w:noWrap w:val="0"/>
            <w:vAlign w:val="center"/>
          </w:tcPr>
          <w:p w14:paraId="09EA78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SO2≦272.374吨,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NOX≦11</w:t>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.338吨</w:t>
            </w:r>
            <w:r>
              <w:rPr>
                <w:rFonts w:hint="eastAsia" w:ascii="宋体" w:hAnsi="宋体" w:cs="宋体"/>
                <w:i w:val="0"/>
                <w:iCs w:val="0"/>
                <w:color w:val="000000"/>
                <w:kern w:val="0"/>
                <w:sz w:val="22"/>
                <w:szCs w:val="22"/>
                <w:u w:val="none"/>
                <w:lang w:val="en-US" w:eastAsia="zh-CN" w:bidi="ar"/>
              </w:rPr>
              <w:t>,</w:t>
            </w:r>
            <w:r>
              <w:rPr>
                <w:rStyle w:val="10"/>
                <w:rFonts w:hint="eastAsia"/>
                <w:lang w:val="en-US" w:eastAsia="zh-CN" w:bidi="ar"/>
              </w:rPr>
              <w:t>氟化物</w:t>
            </w:r>
            <w:r>
              <w:rPr>
                <w:rStyle w:val="9"/>
                <w:lang w:val="en-US" w:eastAsia="zh-CN" w:bidi="ar"/>
              </w:rPr>
              <w:t>≦</w:t>
            </w:r>
            <w:r>
              <w:rPr>
                <w:rStyle w:val="10"/>
                <w:rFonts w:hint="eastAsia"/>
                <w:lang w:val="en-US" w:eastAsia="zh-CN" w:bidi="ar"/>
              </w:rPr>
              <w:t>26.059</w:t>
            </w:r>
            <w:r>
              <w:rPr>
                <w:rStyle w:val="10"/>
                <w:lang w:val="en-US" w:eastAsia="zh-CN" w:bidi="ar"/>
              </w:rPr>
              <w:t>吨</w:t>
            </w:r>
            <w:r>
              <w:rPr>
                <w:rStyle w:val="10"/>
                <w:rFonts w:hint="eastAsia"/>
                <w:lang w:val="en-US" w:eastAsia="zh-CN" w:bidi="ar"/>
              </w:rPr>
              <w:t>,</w:t>
            </w:r>
            <w:r>
              <w:rPr>
                <w:rFonts w:hint="eastAsia" w:ascii="宋体" w:hAnsi="宋体" w:eastAsia="宋体" w:cs="宋体"/>
                <w:color w:val="000000"/>
                <w:kern w:val="0"/>
                <w:sz w:val="21"/>
                <w:szCs w:val="21"/>
                <w:lang w:val="en-US" w:eastAsia="zh-CN" w:bidi="ar"/>
              </w:rPr>
              <w:t>颗粒物</w:t>
            </w:r>
            <w:r>
              <w:rPr>
                <w:rStyle w:val="9"/>
                <w:lang w:val="en-US" w:eastAsia="zh-CN" w:bidi="ar"/>
              </w:rPr>
              <w:t>≦</w:t>
            </w:r>
            <w:r>
              <w:rPr>
                <w:rFonts w:hint="default" w:ascii="Times New Roman" w:hAnsi="Times New Roman" w:eastAsia="宋体" w:cs="Times New Roman"/>
                <w:color w:val="000000"/>
                <w:kern w:val="0"/>
                <w:sz w:val="21"/>
                <w:szCs w:val="21"/>
                <w:lang w:val="en-US" w:eastAsia="zh-CN" w:bidi="ar"/>
              </w:rPr>
              <w:t>2</w:t>
            </w:r>
            <w:r>
              <w:rPr>
                <w:rFonts w:hint="eastAsia" w:ascii="Times New Roman" w:hAnsi="Times New Roman" w:cs="Times New Roman"/>
                <w:color w:val="000000"/>
                <w:kern w:val="0"/>
                <w:sz w:val="21"/>
                <w:szCs w:val="21"/>
                <w:lang w:val="en-US" w:eastAsia="zh-CN" w:bidi="ar"/>
              </w:rPr>
              <w:t>08</w:t>
            </w:r>
            <w:r>
              <w:rPr>
                <w:rFonts w:hint="default" w:ascii="Times New Roman" w:hAnsi="Times New Roman" w:eastAsia="宋体" w:cs="Times New Roman"/>
                <w:color w:val="000000"/>
                <w:kern w:val="0"/>
                <w:sz w:val="21"/>
                <w:szCs w:val="21"/>
                <w:lang w:val="en-US" w:eastAsia="zh-CN" w:bidi="ar"/>
              </w:rPr>
              <w:t>.</w:t>
            </w:r>
            <w:r>
              <w:rPr>
                <w:rFonts w:hint="eastAsia" w:ascii="Times New Roman" w:hAnsi="Times New Roman" w:cs="Times New Roman"/>
                <w:color w:val="000000"/>
                <w:kern w:val="0"/>
                <w:sz w:val="21"/>
                <w:szCs w:val="21"/>
                <w:lang w:val="en-US" w:eastAsia="zh-CN" w:bidi="ar"/>
              </w:rPr>
              <w:t>0</w:t>
            </w:r>
            <w:r>
              <w:rPr>
                <w:rFonts w:hint="default" w:ascii="Times New Roman" w:hAnsi="Times New Roman" w:eastAsia="宋体" w:cs="Times New Roman"/>
                <w:color w:val="000000"/>
                <w:kern w:val="0"/>
                <w:sz w:val="21"/>
                <w:szCs w:val="21"/>
                <w:lang w:val="en-US" w:eastAsia="zh-CN" w:bidi="ar"/>
              </w:rPr>
              <w:t>36</w:t>
            </w:r>
            <w:r>
              <w:rPr>
                <w:rStyle w:val="10"/>
                <w:lang w:val="en-US" w:eastAsia="zh-CN" w:bidi="ar"/>
              </w:rPr>
              <w:t>吨</w:t>
            </w:r>
          </w:p>
        </w:tc>
        <w:tc>
          <w:tcPr>
            <w:tcW w:w="2036" w:type="dxa"/>
            <w:tcBorders>
              <w:top w:val="single" w:color="000000" w:sz="4" w:space="0"/>
              <w:left w:val="single" w:color="000000" w:sz="4" w:space="0"/>
              <w:bottom w:val="single" w:color="000000" w:sz="4" w:space="0"/>
              <w:right w:val="single" w:color="000000" w:sz="4" w:space="0"/>
            </w:tcBorders>
            <w:noWrap w:val="0"/>
            <w:vAlign w:val="center"/>
          </w:tcPr>
          <w:p w14:paraId="217243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SO2≦270.374吨,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NOX≦11</w:t>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.338吨</w:t>
            </w:r>
            <w:r>
              <w:rPr>
                <w:rFonts w:hint="eastAsia" w:ascii="宋体" w:hAnsi="宋体" w:cs="宋体"/>
                <w:i w:val="0"/>
                <w:iCs w:val="0"/>
                <w:color w:val="000000"/>
                <w:kern w:val="0"/>
                <w:sz w:val="22"/>
                <w:szCs w:val="22"/>
                <w:u w:val="none"/>
                <w:lang w:val="en-US" w:eastAsia="zh-CN" w:bidi="ar"/>
              </w:rPr>
              <w:t>,</w:t>
            </w:r>
            <w:r>
              <w:rPr>
                <w:rStyle w:val="10"/>
                <w:rFonts w:hint="eastAsia"/>
                <w:lang w:val="en-US" w:eastAsia="zh-CN" w:bidi="ar"/>
              </w:rPr>
              <w:t>氟化物</w:t>
            </w:r>
            <w:r>
              <w:rPr>
                <w:rStyle w:val="9"/>
                <w:lang w:val="en-US" w:eastAsia="zh-CN" w:bidi="ar"/>
              </w:rPr>
              <w:t>≦</w:t>
            </w:r>
            <w:r>
              <w:rPr>
                <w:rStyle w:val="10"/>
                <w:rFonts w:hint="eastAsia"/>
                <w:lang w:val="en-US" w:eastAsia="zh-CN" w:bidi="ar"/>
              </w:rPr>
              <w:t>25.559</w:t>
            </w:r>
            <w:r>
              <w:rPr>
                <w:rStyle w:val="10"/>
                <w:lang w:val="en-US" w:eastAsia="zh-CN" w:bidi="ar"/>
              </w:rPr>
              <w:t>吨</w:t>
            </w:r>
            <w:r>
              <w:rPr>
                <w:rStyle w:val="10"/>
                <w:rFonts w:hint="eastAsia"/>
                <w:lang w:val="en-US" w:eastAsia="zh-CN" w:bidi="ar"/>
              </w:rPr>
              <w:t>,</w:t>
            </w:r>
            <w:r>
              <w:rPr>
                <w:rFonts w:hint="eastAsia" w:ascii="宋体" w:hAnsi="宋体" w:eastAsia="宋体" w:cs="宋体"/>
                <w:color w:val="000000"/>
                <w:kern w:val="0"/>
                <w:sz w:val="21"/>
                <w:szCs w:val="21"/>
                <w:lang w:val="en-US" w:eastAsia="zh-CN" w:bidi="ar"/>
              </w:rPr>
              <w:t>颗粒物</w:t>
            </w:r>
            <w:r>
              <w:rPr>
                <w:rStyle w:val="9"/>
                <w:lang w:val="en-US" w:eastAsia="zh-CN" w:bidi="ar"/>
              </w:rPr>
              <w:t>≦</w:t>
            </w:r>
            <w:r>
              <w:rPr>
                <w:rFonts w:hint="default" w:ascii="Times New Roman" w:hAnsi="Times New Roman" w:eastAsia="宋体" w:cs="Times New Roman"/>
                <w:color w:val="000000"/>
                <w:kern w:val="0"/>
                <w:sz w:val="21"/>
                <w:szCs w:val="21"/>
                <w:lang w:val="en-US" w:eastAsia="zh-CN" w:bidi="ar"/>
              </w:rPr>
              <w:t>2</w:t>
            </w:r>
            <w:r>
              <w:rPr>
                <w:rFonts w:hint="eastAsia" w:ascii="Times New Roman" w:hAnsi="Times New Roman" w:cs="Times New Roman"/>
                <w:color w:val="000000"/>
                <w:kern w:val="0"/>
                <w:sz w:val="21"/>
                <w:szCs w:val="21"/>
                <w:lang w:val="en-US" w:eastAsia="zh-CN" w:bidi="ar"/>
              </w:rPr>
              <w:t>07</w:t>
            </w:r>
            <w:r>
              <w:rPr>
                <w:rFonts w:hint="default" w:ascii="Times New Roman" w:hAnsi="Times New Roman" w:eastAsia="宋体" w:cs="Times New Roman"/>
                <w:color w:val="000000"/>
                <w:kern w:val="0"/>
                <w:sz w:val="21"/>
                <w:szCs w:val="21"/>
                <w:lang w:val="en-US" w:eastAsia="zh-CN" w:bidi="ar"/>
              </w:rPr>
              <w:t>.</w:t>
            </w:r>
            <w:r>
              <w:rPr>
                <w:rFonts w:hint="eastAsia" w:ascii="Times New Roman" w:hAnsi="Times New Roman" w:cs="Times New Roman"/>
                <w:color w:val="000000"/>
                <w:kern w:val="0"/>
                <w:sz w:val="21"/>
                <w:szCs w:val="21"/>
                <w:lang w:val="en-US" w:eastAsia="zh-CN" w:bidi="ar"/>
              </w:rPr>
              <w:t>0</w:t>
            </w:r>
            <w:r>
              <w:rPr>
                <w:rFonts w:hint="default" w:ascii="Times New Roman" w:hAnsi="Times New Roman" w:eastAsia="宋体" w:cs="Times New Roman"/>
                <w:color w:val="000000"/>
                <w:kern w:val="0"/>
                <w:sz w:val="21"/>
                <w:szCs w:val="21"/>
                <w:lang w:val="en-US" w:eastAsia="zh-CN" w:bidi="ar"/>
              </w:rPr>
              <w:t>36</w:t>
            </w:r>
            <w:r>
              <w:rPr>
                <w:rStyle w:val="10"/>
                <w:lang w:val="en-US" w:eastAsia="zh-CN" w:bidi="ar"/>
              </w:rPr>
              <w:t>吨</w:t>
            </w:r>
          </w:p>
        </w:tc>
      </w:tr>
      <w:tr w14:paraId="7323F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2" w:type="dxa"/>
            <w:vMerge w:val="continue"/>
            <w:tcBorders>
              <w:top w:val="single" w:color="000000" w:sz="4" w:space="0"/>
              <w:left w:val="single" w:color="000000" w:sz="4" w:space="0"/>
              <w:bottom w:val="single" w:color="000000" w:sz="4" w:space="0"/>
              <w:right w:val="single" w:color="000000" w:sz="4" w:space="0"/>
            </w:tcBorders>
            <w:noWrap/>
            <w:vAlign w:val="center"/>
          </w:tcPr>
          <w:p w14:paraId="7047C862">
            <w:pPr>
              <w:jc w:val="center"/>
              <w:rPr>
                <w:rFonts w:hint="eastAsia" w:ascii="宋体" w:hAnsi="宋体" w:eastAsia="宋体" w:cs="宋体"/>
                <w:i w:val="0"/>
                <w:iCs w:val="0"/>
                <w:color w:val="000000"/>
                <w:sz w:val="22"/>
                <w:szCs w:val="22"/>
                <w:u w:val="none"/>
              </w:rPr>
            </w:pPr>
          </w:p>
        </w:tc>
        <w:tc>
          <w:tcPr>
            <w:tcW w:w="957" w:type="dxa"/>
            <w:vMerge w:val="continue"/>
            <w:tcBorders>
              <w:top w:val="single" w:color="000000" w:sz="4" w:space="0"/>
              <w:left w:val="single" w:color="000000" w:sz="4" w:space="0"/>
              <w:bottom w:val="single" w:color="000000" w:sz="4" w:space="0"/>
              <w:right w:val="single" w:color="000000" w:sz="4" w:space="0"/>
            </w:tcBorders>
            <w:noWrap/>
            <w:vAlign w:val="center"/>
          </w:tcPr>
          <w:p w14:paraId="329FA783">
            <w:pPr>
              <w:jc w:val="center"/>
              <w:rPr>
                <w:rFonts w:hint="eastAsia" w:ascii="宋体" w:hAnsi="宋体" w:eastAsia="宋体" w:cs="宋体"/>
                <w:i w:val="0"/>
                <w:iCs w:val="0"/>
                <w:color w:val="000000"/>
                <w:sz w:val="22"/>
                <w:szCs w:val="22"/>
                <w:u w:val="none"/>
              </w:rPr>
            </w:pPr>
          </w:p>
        </w:tc>
        <w:tc>
          <w:tcPr>
            <w:tcW w:w="25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059452">
            <w:pPr>
              <w:jc w:val="center"/>
              <w:rPr>
                <w:rFonts w:hint="eastAsia" w:ascii="宋体" w:hAnsi="宋体" w:eastAsia="宋体" w:cs="宋体"/>
                <w:i w:val="0"/>
                <w:iCs w:val="0"/>
                <w:color w:val="000000"/>
                <w:sz w:val="22"/>
                <w:szCs w:val="22"/>
                <w:u w:val="none"/>
              </w:rPr>
            </w:pPr>
          </w:p>
        </w:tc>
        <w:tc>
          <w:tcPr>
            <w:tcW w:w="1068" w:type="dxa"/>
            <w:vMerge w:val="restart"/>
            <w:tcBorders>
              <w:top w:val="single" w:color="000000" w:sz="4" w:space="0"/>
              <w:left w:val="single" w:color="000000" w:sz="4" w:space="0"/>
              <w:bottom w:val="single" w:color="000000" w:sz="4" w:space="0"/>
              <w:right w:val="single" w:color="000000" w:sz="4" w:space="0"/>
            </w:tcBorders>
            <w:noWrap/>
            <w:vAlign w:val="center"/>
          </w:tcPr>
          <w:p w14:paraId="5F95A0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w:t>
            </w:r>
          </w:p>
        </w:tc>
        <w:tc>
          <w:tcPr>
            <w:tcW w:w="2042" w:type="dxa"/>
            <w:vMerge w:val="restart"/>
            <w:tcBorders>
              <w:top w:val="single" w:color="000000" w:sz="4" w:space="0"/>
              <w:left w:val="single" w:color="000000" w:sz="4" w:space="0"/>
              <w:bottom w:val="single" w:color="000000" w:sz="4" w:space="0"/>
              <w:right w:val="single" w:color="000000" w:sz="4" w:space="0"/>
            </w:tcBorders>
            <w:noWrap w:val="0"/>
            <w:vAlign w:val="center"/>
          </w:tcPr>
          <w:p w14:paraId="71BDBB19">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SO2：92.1984吨,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NOX：45.919吨</w:t>
            </w:r>
            <w:r>
              <w:rPr>
                <w:rFonts w:hint="eastAsia" w:ascii="宋体" w:hAnsi="宋体" w:cs="宋体"/>
                <w:i w:val="0"/>
                <w:iCs w:val="0"/>
                <w:color w:val="000000"/>
                <w:kern w:val="0"/>
                <w:sz w:val="22"/>
                <w:szCs w:val="22"/>
                <w:u w:val="none"/>
                <w:lang w:val="en-US" w:eastAsia="zh-CN" w:bidi="ar"/>
              </w:rPr>
              <w:t>,</w:t>
            </w:r>
            <w:r>
              <w:rPr>
                <w:rStyle w:val="10"/>
                <w:rFonts w:hint="eastAsia"/>
                <w:lang w:val="en-US" w:eastAsia="zh-CN" w:bidi="ar"/>
              </w:rPr>
              <w:t>氟化物</w:t>
            </w:r>
            <w:r>
              <w:rPr>
                <w:rStyle w:val="9"/>
                <w:lang w:val="en-US" w:eastAsia="zh-CN" w:bidi="ar"/>
              </w:rPr>
              <w:t>≦</w:t>
            </w:r>
            <w:r>
              <w:rPr>
                <w:rFonts w:hint="default" w:ascii="Times New Roman" w:hAnsi="Times New Roman" w:eastAsia="宋体" w:cs="Times New Roman"/>
                <w:color w:val="000000"/>
                <w:kern w:val="0"/>
                <w:sz w:val="21"/>
                <w:szCs w:val="21"/>
                <w:lang w:val="en-US" w:eastAsia="zh-CN" w:bidi="ar"/>
              </w:rPr>
              <w:t>1.6023</w:t>
            </w:r>
            <w:r>
              <w:rPr>
                <w:rStyle w:val="10"/>
                <w:lang w:val="en-US" w:eastAsia="zh-CN" w:bidi="ar"/>
              </w:rPr>
              <w:t>吨</w:t>
            </w:r>
            <w:r>
              <w:rPr>
                <w:rStyle w:val="10"/>
                <w:rFonts w:hint="eastAsia"/>
                <w:lang w:val="en-US" w:eastAsia="zh-CN" w:bidi="ar"/>
              </w:rPr>
              <w:t>,</w:t>
            </w:r>
            <w:r>
              <w:rPr>
                <w:rFonts w:hint="eastAsia" w:ascii="宋体" w:hAnsi="宋体" w:eastAsia="宋体" w:cs="宋体"/>
                <w:color w:val="000000"/>
                <w:kern w:val="0"/>
                <w:sz w:val="21"/>
                <w:szCs w:val="21"/>
                <w:lang w:val="en-US" w:eastAsia="zh-CN" w:bidi="ar"/>
              </w:rPr>
              <w:t>颗粒物</w:t>
            </w:r>
            <w:r>
              <w:rPr>
                <w:rStyle w:val="9"/>
                <w:lang w:val="en-US" w:eastAsia="zh-CN" w:bidi="ar"/>
              </w:rPr>
              <w:t>≦</w:t>
            </w:r>
            <w:r>
              <w:rPr>
                <w:rFonts w:hint="default" w:ascii="Times New Roman" w:hAnsi="Times New Roman" w:eastAsia="宋体" w:cs="Times New Roman"/>
                <w:color w:val="000000"/>
                <w:kern w:val="0"/>
                <w:sz w:val="21"/>
                <w:szCs w:val="21"/>
                <w:lang w:val="en-US" w:eastAsia="zh-CN" w:bidi="ar"/>
              </w:rPr>
              <w:t>20. 75</w:t>
            </w:r>
            <w:r>
              <w:rPr>
                <w:rStyle w:val="10"/>
                <w:lang w:val="en-US" w:eastAsia="zh-CN" w:bidi="ar"/>
              </w:rPr>
              <w:t>吨</w:t>
            </w:r>
          </w:p>
        </w:tc>
        <w:tc>
          <w:tcPr>
            <w:tcW w:w="2023" w:type="dxa"/>
            <w:vMerge w:val="restart"/>
            <w:tcBorders>
              <w:top w:val="single" w:color="000000" w:sz="4" w:space="0"/>
              <w:left w:val="single" w:color="000000" w:sz="4" w:space="0"/>
              <w:bottom w:val="single" w:color="000000" w:sz="4" w:space="0"/>
              <w:right w:val="single" w:color="000000" w:sz="4" w:space="0"/>
            </w:tcBorders>
            <w:noWrap w:val="0"/>
            <w:vAlign w:val="center"/>
          </w:tcPr>
          <w:p w14:paraId="357A1190">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SO2：205.57吨,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NOX：31.124吨</w:t>
            </w:r>
            <w:r>
              <w:rPr>
                <w:rStyle w:val="10"/>
                <w:rFonts w:hint="eastAsia"/>
                <w:lang w:val="en-US" w:eastAsia="zh-CN" w:bidi="ar"/>
              </w:rPr>
              <w:t>氟化物</w:t>
            </w:r>
            <w:r>
              <w:rPr>
                <w:rStyle w:val="9"/>
                <w:lang w:val="en-US" w:eastAsia="zh-CN" w:bidi="ar"/>
              </w:rPr>
              <w:t>≦</w:t>
            </w:r>
            <w:r>
              <w:rPr>
                <w:rFonts w:hint="default" w:ascii="Times New Roman" w:hAnsi="Times New Roman" w:eastAsia="宋体" w:cs="Times New Roman"/>
                <w:color w:val="000000"/>
                <w:kern w:val="0"/>
                <w:sz w:val="21"/>
                <w:szCs w:val="21"/>
                <w:lang w:val="en-US" w:eastAsia="zh-CN" w:bidi="ar"/>
              </w:rPr>
              <w:t>1.0677</w:t>
            </w:r>
            <w:r>
              <w:rPr>
                <w:rStyle w:val="10"/>
                <w:lang w:val="en-US" w:eastAsia="zh-CN" w:bidi="ar"/>
              </w:rPr>
              <w:t>吨</w:t>
            </w:r>
            <w:r>
              <w:rPr>
                <w:rStyle w:val="10"/>
                <w:rFonts w:hint="eastAsia"/>
                <w:lang w:val="en-US" w:eastAsia="zh-CN" w:bidi="ar"/>
              </w:rPr>
              <w:t>,</w:t>
            </w:r>
            <w:r>
              <w:rPr>
                <w:rFonts w:hint="eastAsia" w:ascii="宋体" w:hAnsi="宋体" w:eastAsia="宋体" w:cs="宋体"/>
                <w:color w:val="000000"/>
                <w:kern w:val="0"/>
                <w:sz w:val="21"/>
                <w:szCs w:val="21"/>
                <w:lang w:val="en-US" w:eastAsia="zh-CN" w:bidi="ar"/>
              </w:rPr>
              <w:t>颗粒物</w:t>
            </w:r>
            <w:r>
              <w:rPr>
                <w:rStyle w:val="9"/>
                <w:lang w:val="en-US" w:eastAsia="zh-CN" w:bidi="ar"/>
              </w:rPr>
              <w:t>≦</w:t>
            </w:r>
            <w:r>
              <w:rPr>
                <w:rFonts w:hint="default" w:ascii="Times New Roman" w:hAnsi="Times New Roman" w:eastAsia="宋体" w:cs="Times New Roman"/>
                <w:color w:val="000000"/>
                <w:kern w:val="0"/>
                <w:sz w:val="21"/>
                <w:szCs w:val="21"/>
                <w:lang w:val="en-US" w:eastAsia="zh-CN" w:bidi="ar"/>
              </w:rPr>
              <w:t>16. 482</w:t>
            </w:r>
            <w:r>
              <w:rPr>
                <w:rStyle w:val="10"/>
                <w:lang w:val="en-US" w:eastAsia="zh-CN" w:bidi="ar"/>
              </w:rPr>
              <w:t>吨</w:t>
            </w:r>
          </w:p>
        </w:tc>
        <w:tc>
          <w:tcPr>
            <w:tcW w:w="1993" w:type="dxa"/>
            <w:vMerge w:val="restart"/>
            <w:tcBorders>
              <w:top w:val="single" w:color="000000" w:sz="4" w:space="0"/>
              <w:left w:val="single" w:color="000000" w:sz="4" w:space="0"/>
              <w:bottom w:val="single" w:color="000000" w:sz="4" w:space="0"/>
              <w:right w:val="single" w:color="000000" w:sz="4" w:space="0"/>
            </w:tcBorders>
            <w:noWrap w:val="0"/>
            <w:vAlign w:val="center"/>
          </w:tcPr>
          <w:p w14:paraId="27BB133F">
            <w:pPr>
              <w:keepNext w:val="0"/>
              <w:keepLines w:val="0"/>
              <w:widowControl/>
              <w:suppressLineNumbers w:val="0"/>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SO2：171.941吨,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NOX：17.994吨</w:t>
            </w:r>
            <w:r>
              <w:rPr>
                <w:rStyle w:val="10"/>
                <w:rFonts w:hint="eastAsia"/>
                <w:lang w:val="en-US" w:eastAsia="zh-CN" w:bidi="ar"/>
              </w:rPr>
              <w:t>氟化物</w:t>
            </w:r>
            <w:r>
              <w:rPr>
                <w:rStyle w:val="9"/>
                <w:lang w:val="en-US" w:eastAsia="zh-CN" w:bidi="ar"/>
              </w:rPr>
              <w:t>≦</w:t>
            </w:r>
            <w:r>
              <w:rPr>
                <w:rFonts w:hint="default" w:ascii="Times New Roman" w:hAnsi="Times New Roman" w:eastAsia="宋体" w:cs="Times New Roman"/>
                <w:color w:val="000000"/>
                <w:kern w:val="0"/>
                <w:sz w:val="21"/>
                <w:szCs w:val="21"/>
                <w:lang w:val="en-US" w:eastAsia="zh-CN" w:bidi="ar"/>
              </w:rPr>
              <w:t>1.187</w:t>
            </w:r>
            <w:r>
              <w:rPr>
                <w:rStyle w:val="10"/>
                <w:lang w:val="en-US" w:eastAsia="zh-CN" w:bidi="ar"/>
              </w:rPr>
              <w:t>吨</w:t>
            </w:r>
            <w:r>
              <w:rPr>
                <w:rStyle w:val="10"/>
                <w:rFonts w:hint="eastAsia"/>
                <w:lang w:val="en-US" w:eastAsia="zh-CN" w:bidi="ar"/>
              </w:rPr>
              <w:t>,</w:t>
            </w:r>
            <w:r>
              <w:rPr>
                <w:rFonts w:hint="eastAsia" w:ascii="宋体" w:hAnsi="宋体" w:eastAsia="宋体" w:cs="宋体"/>
                <w:color w:val="000000"/>
                <w:kern w:val="0"/>
                <w:sz w:val="21"/>
                <w:szCs w:val="21"/>
                <w:lang w:val="en-US" w:eastAsia="zh-CN" w:bidi="ar"/>
              </w:rPr>
              <w:t>颗粒物</w:t>
            </w:r>
            <w:r>
              <w:rPr>
                <w:rStyle w:val="9"/>
                <w:lang w:val="en-US" w:eastAsia="zh-CN" w:bidi="ar"/>
              </w:rPr>
              <w:t>≦</w:t>
            </w:r>
            <w:r>
              <w:rPr>
                <w:rFonts w:hint="default" w:ascii="Times New Roman" w:hAnsi="Times New Roman" w:eastAsia="宋体" w:cs="Times New Roman"/>
                <w:color w:val="000000"/>
                <w:kern w:val="0"/>
                <w:sz w:val="21"/>
                <w:szCs w:val="21"/>
                <w:lang w:val="en-US" w:eastAsia="zh-CN" w:bidi="ar"/>
              </w:rPr>
              <w:t>14.554</w:t>
            </w:r>
            <w:r>
              <w:rPr>
                <w:rStyle w:val="10"/>
                <w:lang w:val="en-US" w:eastAsia="zh-CN" w:bidi="ar"/>
              </w:rPr>
              <w:t>吨</w:t>
            </w:r>
          </w:p>
        </w:tc>
        <w:tc>
          <w:tcPr>
            <w:tcW w:w="1929" w:type="dxa"/>
            <w:vMerge w:val="restart"/>
            <w:tcBorders>
              <w:top w:val="single" w:color="000000" w:sz="4" w:space="0"/>
              <w:left w:val="single" w:color="000000" w:sz="4" w:space="0"/>
              <w:bottom w:val="single" w:color="000000" w:sz="4" w:space="0"/>
              <w:right w:val="single" w:color="000000" w:sz="4" w:space="0"/>
            </w:tcBorders>
            <w:noWrap/>
            <w:vAlign w:val="center"/>
          </w:tcPr>
          <w:p w14:paraId="3E9BA879">
            <w:pPr>
              <w:jc w:val="center"/>
              <w:rPr>
                <w:rFonts w:hint="eastAsia" w:ascii="宋体" w:hAnsi="宋体" w:eastAsia="宋体" w:cs="宋体"/>
                <w:i w:val="0"/>
                <w:iCs w:val="0"/>
                <w:color w:val="000000"/>
                <w:sz w:val="22"/>
                <w:szCs w:val="22"/>
                <w:u w:val="none"/>
              </w:rPr>
            </w:pPr>
          </w:p>
        </w:tc>
        <w:tc>
          <w:tcPr>
            <w:tcW w:w="2036" w:type="dxa"/>
            <w:vMerge w:val="restart"/>
            <w:tcBorders>
              <w:top w:val="single" w:color="000000" w:sz="4" w:space="0"/>
              <w:left w:val="single" w:color="000000" w:sz="4" w:space="0"/>
              <w:bottom w:val="single" w:color="000000" w:sz="4" w:space="0"/>
              <w:right w:val="single" w:color="000000" w:sz="4" w:space="0"/>
            </w:tcBorders>
            <w:noWrap/>
            <w:vAlign w:val="center"/>
          </w:tcPr>
          <w:p w14:paraId="46E32684">
            <w:pPr>
              <w:jc w:val="center"/>
              <w:rPr>
                <w:rFonts w:hint="eastAsia" w:ascii="宋体" w:hAnsi="宋体" w:eastAsia="宋体" w:cs="宋体"/>
                <w:i w:val="0"/>
                <w:iCs w:val="0"/>
                <w:color w:val="000000"/>
                <w:sz w:val="22"/>
                <w:szCs w:val="22"/>
                <w:u w:val="none"/>
              </w:rPr>
            </w:pPr>
          </w:p>
        </w:tc>
      </w:tr>
      <w:tr w14:paraId="7F93B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2" w:type="dxa"/>
            <w:vMerge w:val="continue"/>
            <w:tcBorders>
              <w:top w:val="single" w:color="000000" w:sz="4" w:space="0"/>
              <w:left w:val="single" w:color="000000" w:sz="4" w:space="0"/>
              <w:bottom w:val="single" w:color="000000" w:sz="4" w:space="0"/>
              <w:right w:val="single" w:color="000000" w:sz="4" w:space="0"/>
            </w:tcBorders>
            <w:noWrap/>
            <w:vAlign w:val="center"/>
          </w:tcPr>
          <w:p w14:paraId="7790C87E">
            <w:pPr>
              <w:jc w:val="center"/>
              <w:rPr>
                <w:rFonts w:hint="eastAsia" w:ascii="宋体" w:hAnsi="宋体" w:eastAsia="宋体" w:cs="宋体"/>
                <w:i w:val="0"/>
                <w:iCs w:val="0"/>
                <w:color w:val="000000"/>
                <w:sz w:val="22"/>
                <w:szCs w:val="22"/>
                <w:u w:val="none"/>
              </w:rPr>
            </w:pPr>
          </w:p>
        </w:tc>
        <w:tc>
          <w:tcPr>
            <w:tcW w:w="957" w:type="dxa"/>
            <w:vMerge w:val="continue"/>
            <w:tcBorders>
              <w:top w:val="single" w:color="000000" w:sz="4" w:space="0"/>
              <w:left w:val="single" w:color="000000" w:sz="4" w:space="0"/>
              <w:bottom w:val="single" w:color="000000" w:sz="4" w:space="0"/>
              <w:right w:val="single" w:color="000000" w:sz="4" w:space="0"/>
            </w:tcBorders>
            <w:noWrap/>
            <w:vAlign w:val="center"/>
          </w:tcPr>
          <w:p w14:paraId="35A3C7B6">
            <w:pPr>
              <w:jc w:val="center"/>
              <w:rPr>
                <w:rFonts w:hint="eastAsia" w:ascii="宋体" w:hAnsi="宋体" w:eastAsia="宋体" w:cs="宋体"/>
                <w:i w:val="0"/>
                <w:iCs w:val="0"/>
                <w:color w:val="000000"/>
                <w:sz w:val="22"/>
                <w:szCs w:val="22"/>
                <w:u w:val="none"/>
              </w:rPr>
            </w:pPr>
          </w:p>
        </w:tc>
        <w:tc>
          <w:tcPr>
            <w:tcW w:w="25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2770A4">
            <w:pPr>
              <w:jc w:val="center"/>
              <w:rPr>
                <w:rFonts w:hint="eastAsia" w:ascii="宋体" w:hAnsi="宋体" w:eastAsia="宋体" w:cs="宋体"/>
                <w:i w:val="0"/>
                <w:iCs w:val="0"/>
                <w:color w:val="000000"/>
                <w:sz w:val="22"/>
                <w:szCs w:val="22"/>
                <w:u w:val="none"/>
              </w:rPr>
            </w:pPr>
          </w:p>
        </w:tc>
        <w:tc>
          <w:tcPr>
            <w:tcW w:w="1068" w:type="dxa"/>
            <w:vMerge w:val="continue"/>
            <w:tcBorders>
              <w:top w:val="single" w:color="000000" w:sz="4" w:space="0"/>
              <w:left w:val="single" w:color="000000" w:sz="4" w:space="0"/>
              <w:bottom w:val="single" w:color="000000" w:sz="4" w:space="0"/>
              <w:right w:val="single" w:color="000000" w:sz="4" w:space="0"/>
            </w:tcBorders>
            <w:noWrap/>
            <w:vAlign w:val="center"/>
          </w:tcPr>
          <w:p w14:paraId="51DC7DCC">
            <w:pPr>
              <w:jc w:val="center"/>
              <w:rPr>
                <w:rFonts w:hint="eastAsia" w:ascii="宋体" w:hAnsi="宋体" w:eastAsia="宋体" w:cs="宋体"/>
                <w:i w:val="0"/>
                <w:iCs w:val="0"/>
                <w:color w:val="000000"/>
                <w:sz w:val="22"/>
                <w:szCs w:val="22"/>
                <w:u w:val="none"/>
              </w:rPr>
            </w:pPr>
          </w:p>
        </w:tc>
        <w:tc>
          <w:tcPr>
            <w:tcW w:w="20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500C32">
            <w:pPr>
              <w:jc w:val="center"/>
              <w:rPr>
                <w:rFonts w:hint="eastAsia" w:ascii="宋体" w:hAnsi="宋体" w:eastAsia="宋体" w:cs="宋体"/>
                <w:i w:val="0"/>
                <w:iCs w:val="0"/>
                <w:color w:val="000000"/>
                <w:sz w:val="22"/>
                <w:szCs w:val="22"/>
                <w:u w:val="none"/>
              </w:rPr>
            </w:pPr>
          </w:p>
        </w:tc>
        <w:tc>
          <w:tcPr>
            <w:tcW w:w="20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D92A00">
            <w:pPr>
              <w:jc w:val="center"/>
              <w:rPr>
                <w:rFonts w:hint="eastAsia" w:ascii="宋体" w:hAnsi="宋体" w:eastAsia="宋体" w:cs="宋体"/>
                <w:i w:val="0"/>
                <w:iCs w:val="0"/>
                <w:color w:val="000000"/>
                <w:sz w:val="22"/>
                <w:szCs w:val="22"/>
                <w:u w:val="none"/>
              </w:rPr>
            </w:pPr>
          </w:p>
        </w:tc>
        <w:tc>
          <w:tcPr>
            <w:tcW w:w="19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CEFA28">
            <w:pPr>
              <w:jc w:val="center"/>
              <w:rPr>
                <w:rFonts w:hint="eastAsia" w:ascii="宋体" w:hAnsi="宋体" w:eastAsia="宋体" w:cs="宋体"/>
                <w:i w:val="0"/>
                <w:iCs w:val="0"/>
                <w:color w:val="000000"/>
                <w:sz w:val="22"/>
                <w:szCs w:val="22"/>
                <w:u w:val="none"/>
              </w:rPr>
            </w:pPr>
          </w:p>
        </w:tc>
        <w:tc>
          <w:tcPr>
            <w:tcW w:w="1929" w:type="dxa"/>
            <w:vMerge w:val="continue"/>
            <w:tcBorders>
              <w:top w:val="single" w:color="000000" w:sz="4" w:space="0"/>
              <w:left w:val="single" w:color="000000" w:sz="4" w:space="0"/>
              <w:bottom w:val="single" w:color="000000" w:sz="4" w:space="0"/>
              <w:right w:val="single" w:color="000000" w:sz="4" w:space="0"/>
            </w:tcBorders>
            <w:noWrap/>
            <w:vAlign w:val="center"/>
          </w:tcPr>
          <w:p w14:paraId="54504E8B">
            <w:pPr>
              <w:jc w:val="center"/>
              <w:rPr>
                <w:rFonts w:hint="eastAsia" w:ascii="宋体" w:hAnsi="宋体" w:eastAsia="宋体" w:cs="宋体"/>
                <w:i w:val="0"/>
                <w:iCs w:val="0"/>
                <w:color w:val="000000"/>
                <w:sz w:val="22"/>
                <w:szCs w:val="22"/>
                <w:u w:val="none"/>
              </w:rPr>
            </w:pPr>
          </w:p>
        </w:tc>
        <w:tc>
          <w:tcPr>
            <w:tcW w:w="2036" w:type="dxa"/>
            <w:vMerge w:val="continue"/>
            <w:tcBorders>
              <w:top w:val="single" w:color="000000" w:sz="4" w:space="0"/>
              <w:left w:val="single" w:color="000000" w:sz="4" w:space="0"/>
              <w:bottom w:val="single" w:color="000000" w:sz="4" w:space="0"/>
              <w:right w:val="single" w:color="000000" w:sz="4" w:space="0"/>
            </w:tcBorders>
            <w:noWrap/>
            <w:vAlign w:val="center"/>
          </w:tcPr>
          <w:p w14:paraId="0E5138CA">
            <w:pPr>
              <w:jc w:val="center"/>
              <w:rPr>
                <w:rFonts w:hint="eastAsia" w:ascii="宋体" w:hAnsi="宋体" w:eastAsia="宋体" w:cs="宋体"/>
                <w:i w:val="0"/>
                <w:iCs w:val="0"/>
                <w:color w:val="000000"/>
                <w:sz w:val="22"/>
                <w:szCs w:val="22"/>
                <w:u w:val="none"/>
              </w:rPr>
            </w:pPr>
          </w:p>
        </w:tc>
      </w:tr>
      <w:tr w14:paraId="4E238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22" w:type="dxa"/>
            <w:vMerge w:val="continue"/>
            <w:tcBorders>
              <w:top w:val="single" w:color="000000" w:sz="4" w:space="0"/>
              <w:left w:val="single" w:color="000000" w:sz="4" w:space="0"/>
              <w:bottom w:val="single" w:color="000000" w:sz="4" w:space="0"/>
              <w:right w:val="single" w:color="000000" w:sz="4" w:space="0"/>
            </w:tcBorders>
            <w:noWrap/>
            <w:vAlign w:val="center"/>
          </w:tcPr>
          <w:p w14:paraId="2E8345F3">
            <w:pPr>
              <w:jc w:val="center"/>
              <w:rPr>
                <w:rFonts w:hint="eastAsia" w:ascii="宋体" w:hAnsi="宋体" w:eastAsia="宋体" w:cs="宋体"/>
                <w:i w:val="0"/>
                <w:iCs w:val="0"/>
                <w:color w:val="000000"/>
                <w:sz w:val="22"/>
                <w:szCs w:val="22"/>
                <w:u w:val="none"/>
              </w:rPr>
            </w:pPr>
          </w:p>
        </w:tc>
        <w:tc>
          <w:tcPr>
            <w:tcW w:w="957" w:type="dxa"/>
            <w:vMerge w:val="continue"/>
            <w:tcBorders>
              <w:top w:val="single" w:color="000000" w:sz="4" w:space="0"/>
              <w:left w:val="single" w:color="000000" w:sz="4" w:space="0"/>
              <w:bottom w:val="single" w:color="000000" w:sz="4" w:space="0"/>
              <w:right w:val="single" w:color="000000" w:sz="4" w:space="0"/>
            </w:tcBorders>
            <w:noWrap/>
            <w:vAlign w:val="center"/>
          </w:tcPr>
          <w:p w14:paraId="0B28EC48">
            <w:pPr>
              <w:jc w:val="center"/>
              <w:rPr>
                <w:rFonts w:hint="eastAsia" w:ascii="宋体" w:hAnsi="宋体" w:eastAsia="宋体" w:cs="宋体"/>
                <w:i w:val="0"/>
                <w:iCs w:val="0"/>
                <w:color w:val="000000"/>
                <w:sz w:val="22"/>
                <w:szCs w:val="22"/>
                <w:u w:val="none"/>
              </w:rPr>
            </w:pPr>
          </w:p>
        </w:tc>
        <w:tc>
          <w:tcPr>
            <w:tcW w:w="25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A18FC0">
            <w:pPr>
              <w:jc w:val="center"/>
              <w:rPr>
                <w:rFonts w:hint="eastAsia" w:ascii="宋体" w:hAnsi="宋体" w:eastAsia="宋体" w:cs="宋体"/>
                <w:i w:val="0"/>
                <w:iCs w:val="0"/>
                <w:color w:val="000000"/>
                <w:sz w:val="22"/>
                <w:szCs w:val="22"/>
                <w:u w:val="none"/>
              </w:rPr>
            </w:pPr>
          </w:p>
        </w:tc>
        <w:tc>
          <w:tcPr>
            <w:tcW w:w="1068" w:type="dxa"/>
            <w:vMerge w:val="continue"/>
            <w:tcBorders>
              <w:top w:val="single" w:color="000000" w:sz="4" w:space="0"/>
              <w:left w:val="single" w:color="000000" w:sz="4" w:space="0"/>
              <w:bottom w:val="single" w:color="000000" w:sz="4" w:space="0"/>
              <w:right w:val="single" w:color="000000" w:sz="4" w:space="0"/>
            </w:tcBorders>
            <w:noWrap/>
            <w:vAlign w:val="center"/>
          </w:tcPr>
          <w:p w14:paraId="437108E2">
            <w:pPr>
              <w:jc w:val="center"/>
              <w:rPr>
                <w:rFonts w:hint="eastAsia" w:ascii="宋体" w:hAnsi="宋体" w:eastAsia="宋体" w:cs="宋体"/>
                <w:i w:val="0"/>
                <w:iCs w:val="0"/>
                <w:color w:val="000000"/>
                <w:sz w:val="22"/>
                <w:szCs w:val="22"/>
                <w:u w:val="none"/>
              </w:rPr>
            </w:pPr>
          </w:p>
        </w:tc>
        <w:tc>
          <w:tcPr>
            <w:tcW w:w="20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1AA10C">
            <w:pPr>
              <w:jc w:val="center"/>
              <w:rPr>
                <w:rFonts w:hint="eastAsia" w:ascii="宋体" w:hAnsi="宋体" w:eastAsia="宋体" w:cs="宋体"/>
                <w:i w:val="0"/>
                <w:iCs w:val="0"/>
                <w:color w:val="000000"/>
                <w:sz w:val="22"/>
                <w:szCs w:val="22"/>
                <w:u w:val="none"/>
              </w:rPr>
            </w:pPr>
          </w:p>
        </w:tc>
        <w:tc>
          <w:tcPr>
            <w:tcW w:w="20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DA9ACA">
            <w:pPr>
              <w:jc w:val="center"/>
              <w:rPr>
                <w:rFonts w:hint="eastAsia" w:ascii="宋体" w:hAnsi="宋体" w:eastAsia="宋体" w:cs="宋体"/>
                <w:i w:val="0"/>
                <w:iCs w:val="0"/>
                <w:color w:val="000000"/>
                <w:sz w:val="22"/>
                <w:szCs w:val="22"/>
                <w:u w:val="none"/>
              </w:rPr>
            </w:pPr>
          </w:p>
        </w:tc>
        <w:tc>
          <w:tcPr>
            <w:tcW w:w="19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79572D">
            <w:pPr>
              <w:jc w:val="center"/>
              <w:rPr>
                <w:rFonts w:hint="eastAsia" w:ascii="宋体" w:hAnsi="宋体" w:eastAsia="宋体" w:cs="宋体"/>
                <w:i w:val="0"/>
                <w:iCs w:val="0"/>
                <w:color w:val="000000"/>
                <w:sz w:val="22"/>
                <w:szCs w:val="22"/>
                <w:u w:val="none"/>
              </w:rPr>
            </w:pPr>
          </w:p>
        </w:tc>
        <w:tc>
          <w:tcPr>
            <w:tcW w:w="1929" w:type="dxa"/>
            <w:vMerge w:val="continue"/>
            <w:tcBorders>
              <w:top w:val="single" w:color="000000" w:sz="4" w:space="0"/>
              <w:left w:val="single" w:color="000000" w:sz="4" w:space="0"/>
              <w:bottom w:val="single" w:color="000000" w:sz="4" w:space="0"/>
              <w:right w:val="single" w:color="000000" w:sz="4" w:space="0"/>
            </w:tcBorders>
            <w:noWrap/>
            <w:vAlign w:val="center"/>
          </w:tcPr>
          <w:p w14:paraId="70AD12B2">
            <w:pPr>
              <w:jc w:val="center"/>
              <w:rPr>
                <w:rFonts w:hint="eastAsia" w:ascii="宋体" w:hAnsi="宋体" w:eastAsia="宋体" w:cs="宋体"/>
                <w:i w:val="0"/>
                <w:iCs w:val="0"/>
                <w:color w:val="000000"/>
                <w:sz w:val="22"/>
                <w:szCs w:val="22"/>
                <w:u w:val="none"/>
              </w:rPr>
            </w:pPr>
          </w:p>
        </w:tc>
        <w:tc>
          <w:tcPr>
            <w:tcW w:w="2036" w:type="dxa"/>
            <w:vMerge w:val="continue"/>
            <w:tcBorders>
              <w:top w:val="single" w:color="000000" w:sz="4" w:space="0"/>
              <w:left w:val="single" w:color="000000" w:sz="4" w:space="0"/>
              <w:bottom w:val="single" w:color="000000" w:sz="4" w:space="0"/>
              <w:right w:val="single" w:color="000000" w:sz="4" w:space="0"/>
            </w:tcBorders>
            <w:noWrap/>
            <w:vAlign w:val="center"/>
          </w:tcPr>
          <w:p w14:paraId="0AFEA561">
            <w:pPr>
              <w:jc w:val="center"/>
              <w:rPr>
                <w:rFonts w:hint="eastAsia" w:ascii="宋体" w:hAnsi="宋体" w:eastAsia="宋体" w:cs="宋体"/>
                <w:i w:val="0"/>
                <w:iCs w:val="0"/>
                <w:color w:val="000000"/>
                <w:sz w:val="22"/>
                <w:szCs w:val="22"/>
                <w:u w:val="none"/>
              </w:rPr>
            </w:pPr>
          </w:p>
        </w:tc>
      </w:tr>
      <w:tr w14:paraId="00B5B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2" w:type="dxa"/>
            <w:vMerge w:val="restart"/>
            <w:tcBorders>
              <w:top w:val="single" w:color="000000" w:sz="4" w:space="0"/>
              <w:left w:val="single" w:color="000000" w:sz="4" w:space="0"/>
              <w:bottom w:val="single" w:color="000000" w:sz="4" w:space="0"/>
              <w:right w:val="single" w:color="000000" w:sz="4" w:space="0"/>
            </w:tcBorders>
            <w:noWrap/>
            <w:vAlign w:val="center"/>
          </w:tcPr>
          <w:p w14:paraId="44998A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57" w:type="dxa"/>
            <w:vMerge w:val="restart"/>
            <w:tcBorders>
              <w:top w:val="single" w:color="000000" w:sz="4" w:space="0"/>
              <w:left w:val="single" w:color="000000" w:sz="4" w:space="0"/>
              <w:bottom w:val="single" w:color="000000" w:sz="4" w:space="0"/>
              <w:right w:val="single" w:color="000000" w:sz="4" w:space="0"/>
            </w:tcBorders>
            <w:noWrap/>
            <w:vAlign w:val="center"/>
          </w:tcPr>
          <w:p w14:paraId="7F2CEC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废水</w:t>
            </w:r>
          </w:p>
        </w:tc>
        <w:tc>
          <w:tcPr>
            <w:tcW w:w="2550" w:type="dxa"/>
            <w:vMerge w:val="restart"/>
            <w:tcBorders>
              <w:top w:val="single" w:color="000000" w:sz="4" w:space="0"/>
              <w:left w:val="single" w:color="000000" w:sz="4" w:space="0"/>
              <w:bottom w:val="single" w:color="000000" w:sz="4" w:space="0"/>
              <w:right w:val="single" w:color="000000" w:sz="4" w:space="0"/>
            </w:tcBorders>
            <w:noWrap w:val="0"/>
            <w:vAlign w:val="center"/>
          </w:tcPr>
          <w:p w14:paraId="518D13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符合环评批复的排放限值：COD≦40.366吨,氨氮≦7.571吨</w:t>
            </w:r>
          </w:p>
        </w:tc>
        <w:tc>
          <w:tcPr>
            <w:tcW w:w="1068" w:type="dxa"/>
            <w:vMerge w:val="restart"/>
            <w:tcBorders>
              <w:top w:val="single" w:color="000000" w:sz="4" w:space="0"/>
              <w:left w:val="single" w:color="000000" w:sz="4" w:space="0"/>
              <w:bottom w:val="single" w:color="000000" w:sz="4" w:space="0"/>
              <w:right w:val="single" w:color="000000" w:sz="4" w:space="0"/>
            </w:tcBorders>
            <w:noWrap/>
            <w:vAlign w:val="center"/>
          </w:tcPr>
          <w:p w14:paraId="2F54EA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w:t>
            </w:r>
          </w:p>
        </w:tc>
        <w:tc>
          <w:tcPr>
            <w:tcW w:w="2042" w:type="dxa"/>
            <w:vMerge w:val="restart"/>
            <w:tcBorders>
              <w:top w:val="single" w:color="000000" w:sz="4" w:space="0"/>
              <w:left w:val="single" w:color="000000" w:sz="4" w:space="0"/>
              <w:bottom w:val="single" w:color="000000" w:sz="4" w:space="0"/>
              <w:right w:val="single" w:color="000000" w:sz="4" w:space="0"/>
            </w:tcBorders>
            <w:noWrap w:val="0"/>
            <w:vAlign w:val="center"/>
          </w:tcPr>
          <w:p w14:paraId="73C25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COD≦39.366吨,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氨氮≦7.571吨</w:t>
            </w:r>
          </w:p>
        </w:tc>
        <w:tc>
          <w:tcPr>
            <w:tcW w:w="2023" w:type="dxa"/>
            <w:vMerge w:val="restart"/>
            <w:tcBorders>
              <w:top w:val="single" w:color="000000" w:sz="4" w:space="0"/>
              <w:left w:val="single" w:color="000000" w:sz="4" w:space="0"/>
              <w:bottom w:val="single" w:color="000000" w:sz="4" w:space="0"/>
              <w:right w:val="single" w:color="000000" w:sz="4" w:space="0"/>
            </w:tcBorders>
            <w:noWrap w:val="0"/>
            <w:vAlign w:val="center"/>
          </w:tcPr>
          <w:p w14:paraId="5FD6AC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COD≦38.366吨,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氨氮≦7.371吨</w:t>
            </w:r>
          </w:p>
        </w:tc>
        <w:tc>
          <w:tcPr>
            <w:tcW w:w="1993" w:type="dxa"/>
            <w:vMerge w:val="restart"/>
            <w:tcBorders>
              <w:top w:val="single" w:color="000000" w:sz="4" w:space="0"/>
              <w:left w:val="single" w:color="000000" w:sz="4" w:space="0"/>
              <w:bottom w:val="single" w:color="000000" w:sz="4" w:space="0"/>
              <w:right w:val="single" w:color="000000" w:sz="4" w:space="0"/>
            </w:tcBorders>
            <w:noWrap w:val="0"/>
            <w:vAlign w:val="center"/>
          </w:tcPr>
          <w:p w14:paraId="4020A0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COD≦37.366吨,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氨氮≦7.171吨</w:t>
            </w:r>
          </w:p>
        </w:tc>
        <w:tc>
          <w:tcPr>
            <w:tcW w:w="1929" w:type="dxa"/>
            <w:vMerge w:val="restart"/>
            <w:tcBorders>
              <w:top w:val="single" w:color="000000" w:sz="4" w:space="0"/>
              <w:left w:val="single" w:color="000000" w:sz="4" w:space="0"/>
              <w:bottom w:val="single" w:color="000000" w:sz="4" w:space="0"/>
              <w:right w:val="single" w:color="000000" w:sz="4" w:space="0"/>
            </w:tcBorders>
            <w:noWrap w:val="0"/>
            <w:vAlign w:val="center"/>
          </w:tcPr>
          <w:p w14:paraId="516B43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COD≦36.366吨,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氨氮≦6.971吨</w:t>
            </w:r>
          </w:p>
        </w:tc>
        <w:tc>
          <w:tcPr>
            <w:tcW w:w="2036" w:type="dxa"/>
            <w:vMerge w:val="restart"/>
            <w:tcBorders>
              <w:top w:val="single" w:color="000000" w:sz="4" w:space="0"/>
              <w:left w:val="single" w:color="000000" w:sz="4" w:space="0"/>
              <w:bottom w:val="single" w:color="000000" w:sz="4" w:space="0"/>
              <w:right w:val="single" w:color="000000" w:sz="4" w:space="0"/>
            </w:tcBorders>
            <w:noWrap w:val="0"/>
            <w:vAlign w:val="center"/>
          </w:tcPr>
          <w:p w14:paraId="03D03B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COD≦35.366吨,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氨氮≦6.771吨</w:t>
            </w:r>
          </w:p>
        </w:tc>
      </w:tr>
      <w:tr w14:paraId="68A20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2" w:type="dxa"/>
            <w:vMerge w:val="continue"/>
            <w:tcBorders>
              <w:top w:val="single" w:color="000000" w:sz="4" w:space="0"/>
              <w:left w:val="single" w:color="000000" w:sz="4" w:space="0"/>
              <w:bottom w:val="single" w:color="000000" w:sz="4" w:space="0"/>
              <w:right w:val="single" w:color="000000" w:sz="4" w:space="0"/>
            </w:tcBorders>
            <w:noWrap/>
            <w:vAlign w:val="center"/>
          </w:tcPr>
          <w:p w14:paraId="6EE35E6E">
            <w:pPr>
              <w:jc w:val="center"/>
              <w:rPr>
                <w:rFonts w:hint="eastAsia" w:ascii="宋体" w:hAnsi="宋体" w:eastAsia="宋体" w:cs="宋体"/>
                <w:i w:val="0"/>
                <w:iCs w:val="0"/>
                <w:color w:val="000000"/>
                <w:sz w:val="22"/>
                <w:szCs w:val="22"/>
                <w:u w:val="none"/>
              </w:rPr>
            </w:pPr>
          </w:p>
        </w:tc>
        <w:tc>
          <w:tcPr>
            <w:tcW w:w="957" w:type="dxa"/>
            <w:vMerge w:val="continue"/>
            <w:tcBorders>
              <w:top w:val="single" w:color="000000" w:sz="4" w:space="0"/>
              <w:left w:val="single" w:color="000000" w:sz="4" w:space="0"/>
              <w:bottom w:val="single" w:color="000000" w:sz="4" w:space="0"/>
              <w:right w:val="single" w:color="000000" w:sz="4" w:space="0"/>
            </w:tcBorders>
            <w:noWrap/>
            <w:vAlign w:val="center"/>
          </w:tcPr>
          <w:p w14:paraId="36D874EA">
            <w:pPr>
              <w:jc w:val="center"/>
              <w:rPr>
                <w:rFonts w:hint="eastAsia" w:ascii="宋体" w:hAnsi="宋体" w:eastAsia="宋体" w:cs="宋体"/>
                <w:i w:val="0"/>
                <w:iCs w:val="0"/>
                <w:color w:val="000000"/>
                <w:sz w:val="22"/>
                <w:szCs w:val="22"/>
                <w:u w:val="none"/>
              </w:rPr>
            </w:pPr>
          </w:p>
        </w:tc>
        <w:tc>
          <w:tcPr>
            <w:tcW w:w="25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09BABD">
            <w:pPr>
              <w:jc w:val="center"/>
              <w:rPr>
                <w:rFonts w:hint="eastAsia" w:ascii="宋体" w:hAnsi="宋体" w:eastAsia="宋体" w:cs="宋体"/>
                <w:i w:val="0"/>
                <w:iCs w:val="0"/>
                <w:color w:val="000000"/>
                <w:sz w:val="22"/>
                <w:szCs w:val="22"/>
                <w:u w:val="none"/>
              </w:rPr>
            </w:pPr>
          </w:p>
        </w:tc>
        <w:tc>
          <w:tcPr>
            <w:tcW w:w="1068" w:type="dxa"/>
            <w:vMerge w:val="continue"/>
            <w:tcBorders>
              <w:top w:val="single" w:color="000000" w:sz="4" w:space="0"/>
              <w:left w:val="single" w:color="000000" w:sz="4" w:space="0"/>
              <w:bottom w:val="single" w:color="000000" w:sz="4" w:space="0"/>
              <w:right w:val="single" w:color="000000" w:sz="4" w:space="0"/>
            </w:tcBorders>
            <w:noWrap/>
            <w:vAlign w:val="center"/>
          </w:tcPr>
          <w:p w14:paraId="359A29DB">
            <w:pPr>
              <w:jc w:val="center"/>
              <w:rPr>
                <w:rFonts w:hint="eastAsia" w:ascii="宋体" w:hAnsi="宋体" w:eastAsia="宋体" w:cs="宋体"/>
                <w:i w:val="0"/>
                <w:iCs w:val="0"/>
                <w:color w:val="000000"/>
                <w:sz w:val="22"/>
                <w:szCs w:val="22"/>
                <w:u w:val="none"/>
              </w:rPr>
            </w:pPr>
          </w:p>
        </w:tc>
        <w:tc>
          <w:tcPr>
            <w:tcW w:w="20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770172">
            <w:pPr>
              <w:jc w:val="center"/>
              <w:rPr>
                <w:rFonts w:hint="eastAsia" w:ascii="宋体" w:hAnsi="宋体" w:eastAsia="宋体" w:cs="宋体"/>
                <w:i w:val="0"/>
                <w:iCs w:val="0"/>
                <w:color w:val="000000"/>
                <w:sz w:val="22"/>
                <w:szCs w:val="22"/>
                <w:u w:val="none"/>
              </w:rPr>
            </w:pPr>
          </w:p>
        </w:tc>
        <w:tc>
          <w:tcPr>
            <w:tcW w:w="20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C67D44">
            <w:pPr>
              <w:jc w:val="center"/>
              <w:rPr>
                <w:rFonts w:hint="eastAsia" w:ascii="宋体" w:hAnsi="宋体" w:eastAsia="宋体" w:cs="宋体"/>
                <w:i w:val="0"/>
                <w:iCs w:val="0"/>
                <w:color w:val="000000"/>
                <w:sz w:val="22"/>
                <w:szCs w:val="22"/>
                <w:u w:val="none"/>
              </w:rPr>
            </w:pPr>
          </w:p>
        </w:tc>
        <w:tc>
          <w:tcPr>
            <w:tcW w:w="19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B151D8">
            <w:pPr>
              <w:jc w:val="center"/>
              <w:rPr>
                <w:rFonts w:hint="eastAsia" w:ascii="宋体" w:hAnsi="宋体" w:eastAsia="宋体" w:cs="宋体"/>
                <w:i w:val="0"/>
                <w:iCs w:val="0"/>
                <w:color w:val="000000"/>
                <w:sz w:val="22"/>
                <w:szCs w:val="22"/>
                <w:u w:val="none"/>
              </w:rPr>
            </w:pPr>
          </w:p>
        </w:tc>
        <w:tc>
          <w:tcPr>
            <w:tcW w:w="19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D0385D">
            <w:pPr>
              <w:jc w:val="center"/>
              <w:rPr>
                <w:rFonts w:hint="eastAsia" w:ascii="宋体" w:hAnsi="宋体" w:eastAsia="宋体" w:cs="宋体"/>
                <w:i w:val="0"/>
                <w:iCs w:val="0"/>
                <w:color w:val="000000"/>
                <w:sz w:val="22"/>
                <w:szCs w:val="22"/>
                <w:u w:val="none"/>
              </w:rPr>
            </w:pPr>
          </w:p>
        </w:tc>
        <w:tc>
          <w:tcPr>
            <w:tcW w:w="203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E0FCE5">
            <w:pPr>
              <w:jc w:val="center"/>
              <w:rPr>
                <w:rFonts w:hint="eastAsia" w:ascii="宋体" w:hAnsi="宋体" w:eastAsia="宋体" w:cs="宋体"/>
                <w:i w:val="0"/>
                <w:iCs w:val="0"/>
                <w:color w:val="000000"/>
                <w:sz w:val="22"/>
                <w:szCs w:val="22"/>
                <w:u w:val="none"/>
              </w:rPr>
            </w:pPr>
          </w:p>
        </w:tc>
      </w:tr>
      <w:tr w14:paraId="110B6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22" w:type="dxa"/>
            <w:vMerge w:val="continue"/>
            <w:tcBorders>
              <w:top w:val="single" w:color="000000" w:sz="4" w:space="0"/>
              <w:left w:val="single" w:color="000000" w:sz="4" w:space="0"/>
              <w:bottom w:val="single" w:color="000000" w:sz="4" w:space="0"/>
              <w:right w:val="single" w:color="000000" w:sz="4" w:space="0"/>
            </w:tcBorders>
            <w:noWrap/>
            <w:vAlign w:val="center"/>
          </w:tcPr>
          <w:p w14:paraId="25DD23EC">
            <w:pPr>
              <w:jc w:val="center"/>
              <w:rPr>
                <w:rFonts w:hint="eastAsia" w:ascii="宋体" w:hAnsi="宋体" w:eastAsia="宋体" w:cs="宋体"/>
                <w:i w:val="0"/>
                <w:iCs w:val="0"/>
                <w:color w:val="000000"/>
                <w:sz w:val="22"/>
                <w:szCs w:val="22"/>
                <w:u w:val="none"/>
              </w:rPr>
            </w:pPr>
          </w:p>
        </w:tc>
        <w:tc>
          <w:tcPr>
            <w:tcW w:w="957" w:type="dxa"/>
            <w:vMerge w:val="continue"/>
            <w:tcBorders>
              <w:top w:val="single" w:color="000000" w:sz="4" w:space="0"/>
              <w:left w:val="single" w:color="000000" w:sz="4" w:space="0"/>
              <w:bottom w:val="single" w:color="000000" w:sz="4" w:space="0"/>
              <w:right w:val="single" w:color="000000" w:sz="4" w:space="0"/>
            </w:tcBorders>
            <w:noWrap/>
            <w:vAlign w:val="center"/>
          </w:tcPr>
          <w:p w14:paraId="6C9AB99F">
            <w:pPr>
              <w:jc w:val="center"/>
              <w:rPr>
                <w:rFonts w:hint="eastAsia" w:ascii="宋体" w:hAnsi="宋体" w:eastAsia="宋体" w:cs="宋体"/>
                <w:i w:val="0"/>
                <w:iCs w:val="0"/>
                <w:color w:val="000000"/>
                <w:sz w:val="22"/>
                <w:szCs w:val="22"/>
                <w:u w:val="none"/>
              </w:rPr>
            </w:pPr>
          </w:p>
        </w:tc>
        <w:tc>
          <w:tcPr>
            <w:tcW w:w="25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5F8289">
            <w:pPr>
              <w:jc w:val="center"/>
              <w:rPr>
                <w:rFonts w:hint="eastAsia" w:ascii="宋体" w:hAnsi="宋体" w:eastAsia="宋体" w:cs="宋体"/>
                <w:i w:val="0"/>
                <w:iCs w:val="0"/>
                <w:color w:val="000000"/>
                <w:sz w:val="22"/>
                <w:szCs w:val="22"/>
                <w:u w:val="none"/>
              </w:rPr>
            </w:pPr>
          </w:p>
        </w:tc>
        <w:tc>
          <w:tcPr>
            <w:tcW w:w="1068" w:type="dxa"/>
            <w:vMerge w:val="continue"/>
            <w:tcBorders>
              <w:top w:val="single" w:color="000000" w:sz="4" w:space="0"/>
              <w:left w:val="single" w:color="000000" w:sz="4" w:space="0"/>
              <w:bottom w:val="single" w:color="000000" w:sz="4" w:space="0"/>
              <w:right w:val="single" w:color="000000" w:sz="4" w:space="0"/>
            </w:tcBorders>
            <w:noWrap/>
            <w:vAlign w:val="center"/>
          </w:tcPr>
          <w:p w14:paraId="7E104285">
            <w:pPr>
              <w:jc w:val="center"/>
              <w:rPr>
                <w:rFonts w:hint="eastAsia" w:ascii="宋体" w:hAnsi="宋体" w:eastAsia="宋体" w:cs="宋体"/>
                <w:i w:val="0"/>
                <w:iCs w:val="0"/>
                <w:color w:val="000000"/>
                <w:sz w:val="22"/>
                <w:szCs w:val="22"/>
                <w:u w:val="none"/>
              </w:rPr>
            </w:pPr>
          </w:p>
        </w:tc>
        <w:tc>
          <w:tcPr>
            <w:tcW w:w="20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01BFED">
            <w:pPr>
              <w:jc w:val="center"/>
              <w:rPr>
                <w:rFonts w:hint="eastAsia" w:ascii="宋体" w:hAnsi="宋体" w:eastAsia="宋体" w:cs="宋体"/>
                <w:i w:val="0"/>
                <w:iCs w:val="0"/>
                <w:color w:val="000000"/>
                <w:sz w:val="22"/>
                <w:szCs w:val="22"/>
                <w:u w:val="none"/>
              </w:rPr>
            </w:pPr>
          </w:p>
        </w:tc>
        <w:tc>
          <w:tcPr>
            <w:tcW w:w="20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EFFC65">
            <w:pPr>
              <w:jc w:val="center"/>
              <w:rPr>
                <w:rFonts w:hint="eastAsia" w:ascii="宋体" w:hAnsi="宋体" w:eastAsia="宋体" w:cs="宋体"/>
                <w:i w:val="0"/>
                <w:iCs w:val="0"/>
                <w:color w:val="000000"/>
                <w:sz w:val="22"/>
                <w:szCs w:val="22"/>
                <w:u w:val="none"/>
              </w:rPr>
            </w:pPr>
          </w:p>
        </w:tc>
        <w:tc>
          <w:tcPr>
            <w:tcW w:w="19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1FECA4">
            <w:pPr>
              <w:jc w:val="center"/>
              <w:rPr>
                <w:rFonts w:hint="eastAsia" w:ascii="宋体" w:hAnsi="宋体" w:eastAsia="宋体" w:cs="宋体"/>
                <w:i w:val="0"/>
                <w:iCs w:val="0"/>
                <w:color w:val="000000"/>
                <w:sz w:val="22"/>
                <w:szCs w:val="22"/>
                <w:u w:val="none"/>
              </w:rPr>
            </w:pPr>
          </w:p>
        </w:tc>
        <w:tc>
          <w:tcPr>
            <w:tcW w:w="19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BF6B3B">
            <w:pPr>
              <w:jc w:val="center"/>
              <w:rPr>
                <w:rFonts w:hint="eastAsia" w:ascii="宋体" w:hAnsi="宋体" w:eastAsia="宋体" w:cs="宋体"/>
                <w:i w:val="0"/>
                <w:iCs w:val="0"/>
                <w:color w:val="000000"/>
                <w:sz w:val="22"/>
                <w:szCs w:val="22"/>
                <w:u w:val="none"/>
              </w:rPr>
            </w:pPr>
          </w:p>
        </w:tc>
        <w:tc>
          <w:tcPr>
            <w:tcW w:w="203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F382EE">
            <w:pPr>
              <w:jc w:val="center"/>
              <w:rPr>
                <w:rFonts w:hint="eastAsia" w:ascii="宋体" w:hAnsi="宋体" w:eastAsia="宋体" w:cs="宋体"/>
                <w:i w:val="0"/>
                <w:iCs w:val="0"/>
                <w:color w:val="000000"/>
                <w:sz w:val="22"/>
                <w:szCs w:val="22"/>
                <w:u w:val="none"/>
              </w:rPr>
            </w:pPr>
          </w:p>
        </w:tc>
      </w:tr>
      <w:tr w14:paraId="2ACE2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2" w:type="dxa"/>
            <w:vMerge w:val="continue"/>
            <w:tcBorders>
              <w:top w:val="single" w:color="000000" w:sz="4" w:space="0"/>
              <w:left w:val="single" w:color="000000" w:sz="4" w:space="0"/>
              <w:bottom w:val="single" w:color="000000" w:sz="4" w:space="0"/>
              <w:right w:val="single" w:color="000000" w:sz="4" w:space="0"/>
            </w:tcBorders>
            <w:noWrap/>
            <w:vAlign w:val="center"/>
          </w:tcPr>
          <w:p w14:paraId="58DF1F49">
            <w:pPr>
              <w:jc w:val="center"/>
              <w:rPr>
                <w:rFonts w:hint="eastAsia" w:ascii="宋体" w:hAnsi="宋体" w:eastAsia="宋体" w:cs="宋体"/>
                <w:i w:val="0"/>
                <w:iCs w:val="0"/>
                <w:color w:val="000000"/>
                <w:sz w:val="22"/>
                <w:szCs w:val="22"/>
                <w:u w:val="none"/>
              </w:rPr>
            </w:pPr>
          </w:p>
        </w:tc>
        <w:tc>
          <w:tcPr>
            <w:tcW w:w="957" w:type="dxa"/>
            <w:vMerge w:val="continue"/>
            <w:tcBorders>
              <w:top w:val="single" w:color="000000" w:sz="4" w:space="0"/>
              <w:left w:val="single" w:color="000000" w:sz="4" w:space="0"/>
              <w:bottom w:val="single" w:color="000000" w:sz="4" w:space="0"/>
              <w:right w:val="single" w:color="000000" w:sz="4" w:space="0"/>
            </w:tcBorders>
            <w:noWrap/>
            <w:vAlign w:val="center"/>
          </w:tcPr>
          <w:p w14:paraId="3BD54A64">
            <w:pPr>
              <w:jc w:val="center"/>
              <w:rPr>
                <w:rFonts w:hint="eastAsia" w:ascii="宋体" w:hAnsi="宋体" w:eastAsia="宋体" w:cs="宋体"/>
                <w:i w:val="0"/>
                <w:iCs w:val="0"/>
                <w:color w:val="000000"/>
                <w:sz w:val="22"/>
                <w:szCs w:val="22"/>
                <w:u w:val="none"/>
              </w:rPr>
            </w:pPr>
          </w:p>
        </w:tc>
        <w:tc>
          <w:tcPr>
            <w:tcW w:w="25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754CC4">
            <w:pPr>
              <w:jc w:val="center"/>
              <w:rPr>
                <w:rFonts w:hint="eastAsia" w:ascii="宋体" w:hAnsi="宋体" w:eastAsia="宋体" w:cs="宋体"/>
                <w:i w:val="0"/>
                <w:iCs w:val="0"/>
                <w:color w:val="000000"/>
                <w:sz w:val="22"/>
                <w:szCs w:val="22"/>
                <w:u w:val="none"/>
              </w:rPr>
            </w:pPr>
          </w:p>
        </w:tc>
        <w:tc>
          <w:tcPr>
            <w:tcW w:w="1068" w:type="dxa"/>
            <w:vMerge w:val="restart"/>
            <w:tcBorders>
              <w:top w:val="single" w:color="000000" w:sz="4" w:space="0"/>
              <w:left w:val="single" w:color="000000" w:sz="4" w:space="0"/>
              <w:bottom w:val="single" w:color="000000" w:sz="4" w:space="0"/>
              <w:right w:val="single" w:color="000000" w:sz="4" w:space="0"/>
            </w:tcBorders>
            <w:noWrap/>
            <w:vAlign w:val="center"/>
          </w:tcPr>
          <w:p w14:paraId="55019B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w:t>
            </w:r>
          </w:p>
        </w:tc>
        <w:tc>
          <w:tcPr>
            <w:tcW w:w="2042" w:type="dxa"/>
            <w:vMerge w:val="restart"/>
            <w:tcBorders>
              <w:top w:val="single" w:color="000000" w:sz="4" w:space="0"/>
              <w:left w:val="single" w:color="000000" w:sz="4" w:space="0"/>
              <w:bottom w:val="single" w:color="000000" w:sz="4" w:space="0"/>
              <w:right w:val="single" w:color="000000" w:sz="4" w:space="0"/>
            </w:tcBorders>
            <w:noWrap w:val="0"/>
            <w:vAlign w:val="center"/>
          </w:tcPr>
          <w:p w14:paraId="450C8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COD≦5.071吨,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氨氮：0.138吨</w:t>
            </w:r>
          </w:p>
        </w:tc>
        <w:tc>
          <w:tcPr>
            <w:tcW w:w="2023" w:type="dxa"/>
            <w:vMerge w:val="restart"/>
            <w:tcBorders>
              <w:top w:val="single" w:color="000000" w:sz="4" w:space="0"/>
              <w:left w:val="single" w:color="000000" w:sz="4" w:space="0"/>
              <w:bottom w:val="single" w:color="000000" w:sz="4" w:space="0"/>
              <w:right w:val="single" w:color="000000" w:sz="4" w:space="0"/>
            </w:tcBorders>
            <w:noWrap w:val="0"/>
            <w:vAlign w:val="center"/>
          </w:tcPr>
          <w:p w14:paraId="5B072D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COD≦9.322吨,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氨氮：0.129吨</w:t>
            </w:r>
          </w:p>
        </w:tc>
        <w:tc>
          <w:tcPr>
            <w:tcW w:w="1993" w:type="dxa"/>
            <w:vMerge w:val="restart"/>
            <w:tcBorders>
              <w:top w:val="single" w:color="000000" w:sz="4" w:space="0"/>
              <w:left w:val="single" w:color="000000" w:sz="4" w:space="0"/>
              <w:bottom w:val="single" w:color="000000" w:sz="4" w:space="0"/>
              <w:right w:val="single" w:color="000000" w:sz="4" w:space="0"/>
            </w:tcBorders>
            <w:noWrap w:val="0"/>
            <w:vAlign w:val="center"/>
          </w:tcPr>
          <w:p w14:paraId="1DB9BD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COD≦7.546吨,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氨氮：0.074吨</w:t>
            </w:r>
          </w:p>
        </w:tc>
        <w:tc>
          <w:tcPr>
            <w:tcW w:w="1929" w:type="dxa"/>
            <w:vMerge w:val="restart"/>
            <w:tcBorders>
              <w:top w:val="single" w:color="000000" w:sz="4" w:space="0"/>
              <w:left w:val="single" w:color="000000" w:sz="4" w:space="0"/>
              <w:bottom w:val="single" w:color="000000" w:sz="4" w:space="0"/>
              <w:right w:val="single" w:color="000000" w:sz="4" w:space="0"/>
            </w:tcBorders>
            <w:noWrap/>
            <w:vAlign w:val="center"/>
          </w:tcPr>
          <w:p w14:paraId="3BB582A6">
            <w:pPr>
              <w:jc w:val="center"/>
              <w:rPr>
                <w:rFonts w:hint="eastAsia" w:ascii="宋体" w:hAnsi="宋体" w:eastAsia="宋体" w:cs="宋体"/>
                <w:i w:val="0"/>
                <w:iCs w:val="0"/>
                <w:color w:val="000000"/>
                <w:sz w:val="22"/>
                <w:szCs w:val="22"/>
                <w:u w:val="none"/>
              </w:rPr>
            </w:pPr>
          </w:p>
        </w:tc>
        <w:tc>
          <w:tcPr>
            <w:tcW w:w="2036" w:type="dxa"/>
            <w:vMerge w:val="restart"/>
            <w:tcBorders>
              <w:top w:val="single" w:color="000000" w:sz="4" w:space="0"/>
              <w:left w:val="single" w:color="000000" w:sz="4" w:space="0"/>
              <w:bottom w:val="single" w:color="000000" w:sz="4" w:space="0"/>
              <w:right w:val="single" w:color="000000" w:sz="4" w:space="0"/>
            </w:tcBorders>
            <w:noWrap/>
            <w:vAlign w:val="center"/>
          </w:tcPr>
          <w:p w14:paraId="66FF9C1A">
            <w:pPr>
              <w:jc w:val="center"/>
              <w:rPr>
                <w:rFonts w:hint="eastAsia" w:ascii="宋体" w:hAnsi="宋体" w:eastAsia="宋体" w:cs="宋体"/>
                <w:i w:val="0"/>
                <w:iCs w:val="0"/>
                <w:color w:val="000000"/>
                <w:sz w:val="22"/>
                <w:szCs w:val="22"/>
                <w:u w:val="none"/>
              </w:rPr>
            </w:pPr>
          </w:p>
        </w:tc>
      </w:tr>
      <w:tr w14:paraId="13160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2" w:type="dxa"/>
            <w:vMerge w:val="continue"/>
            <w:tcBorders>
              <w:top w:val="single" w:color="000000" w:sz="4" w:space="0"/>
              <w:left w:val="single" w:color="000000" w:sz="4" w:space="0"/>
              <w:bottom w:val="single" w:color="000000" w:sz="4" w:space="0"/>
              <w:right w:val="single" w:color="000000" w:sz="4" w:space="0"/>
            </w:tcBorders>
            <w:noWrap/>
            <w:vAlign w:val="center"/>
          </w:tcPr>
          <w:p w14:paraId="3B76C27C">
            <w:pPr>
              <w:jc w:val="center"/>
              <w:rPr>
                <w:rFonts w:hint="eastAsia" w:ascii="宋体" w:hAnsi="宋体" w:eastAsia="宋体" w:cs="宋体"/>
                <w:i w:val="0"/>
                <w:iCs w:val="0"/>
                <w:color w:val="000000"/>
                <w:sz w:val="22"/>
                <w:szCs w:val="22"/>
                <w:u w:val="none"/>
              </w:rPr>
            </w:pPr>
          </w:p>
        </w:tc>
        <w:tc>
          <w:tcPr>
            <w:tcW w:w="957" w:type="dxa"/>
            <w:vMerge w:val="continue"/>
            <w:tcBorders>
              <w:top w:val="single" w:color="000000" w:sz="4" w:space="0"/>
              <w:left w:val="single" w:color="000000" w:sz="4" w:space="0"/>
              <w:bottom w:val="single" w:color="000000" w:sz="4" w:space="0"/>
              <w:right w:val="single" w:color="000000" w:sz="4" w:space="0"/>
            </w:tcBorders>
            <w:noWrap/>
            <w:vAlign w:val="center"/>
          </w:tcPr>
          <w:p w14:paraId="2850B8BB">
            <w:pPr>
              <w:jc w:val="center"/>
              <w:rPr>
                <w:rFonts w:hint="eastAsia" w:ascii="宋体" w:hAnsi="宋体" w:eastAsia="宋体" w:cs="宋体"/>
                <w:i w:val="0"/>
                <w:iCs w:val="0"/>
                <w:color w:val="000000"/>
                <w:sz w:val="22"/>
                <w:szCs w:val="22"/>
                <w:u w:val="none"/>
              </w:rPr>
            </w:pPr>
          </w:p>
        </w:tc>
        <w:tc>
          <w:tcPr>
            <w:tcW w:w="25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5644DC">
            <w:pPr>
              <w:jc w:val="center"/>
              <w:rPr>
                <w:rFonts w:hint="eastAsia" w:ascii="宋体" w:hAnsi="宋体" w:eastAsia="宋体" w:cs="宋体"/>
                <w:i w:val="0"/>
                <w:iCs w:val="0"/>
                <w:color w:val="000000"/>
                <w:sz w:val="22"/>
                <w:szCs w:val="22"/>
                <w:u w:val="none"/>
              </w:rPr>
            </w:pPr>
          </w:p>
        </w:tc>
        <w:tc>
          <w:tcPr>
            <w:tcW w:w="1068" w:type="dxa"/>
            <w:vMerge w:val="continue"/>
            <w:tcBorders>
              <w:top w:val="single" w:color="000000" w:sz="4" w:space="0"/>
              <w:left w:val="single" w:color="000000" w:sz="4" w:space="0"/>
              <w:bottom w:val="single" w:color="000000" w:sz="4" w:space="0"/>
              <w:right w:val="single" w:color="000000" w:sz="4" w:space="0"/>
            </w:tcBorders>
            <w:noWrap/>
            <w:vAlign w:val="center"/>
          </w:tcPr>
          <w:p w14:paraId="008D6C59">
            <w:pPr>
              <w:jc w:val="center"/>
              <w:rPr>
                <w:rFonts w:hint="eastAsia" w:ascii="宋体" w:hAnsi="宋体" w:eastAsia="宋体" w:cs="宋体"/>
                <w:i w:val="0"/>
                <w:iCs w:val="0"/>
                <w:color w:val="000000"/>
                <w:sz w:val="22"/>
                <w:szCs w:val="22"/>
                <w:u w:val="none"/>
              </w:rPr>
            </w:pPr>
          </w:p>
        </w:tc>
        <w:tc>
          <w:tcPr>
            <w:tcW w:w="20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F428A9">
            <w:pPr>
              <w:jc w:val="center"/>
              <w:rPr>
                <w:rFonts w:hint="eastAsia" w:ascii="宋体" w:hAnsi="宋体" w:eastAsia="宋体" w:cs="宋体"/>
                <w:i w:val="0"/>
                <w:iCs w:val="0"/>
                <w:color w:val="000000"/>
                <w:sz w:val="22"/>
                <w:szCs w:val="22"/>
                <w:u w:val="none"/>
              </w:rPr>
            </w:pPr>
          </w:p>
        </w:tc>
        <w:tc>
          <w:tcPr>
            <w:tcW w:w="20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BF6493">
            <w:pPr>
              <w:jc w:val="center"/>
              <w:rPr>
                <w:rFonts w:hint="eastAsia" w:ascii="宋体" w:hAnsi="宋体" w:eastAsia="宋体" w:cs="宋体"/>
                <w:i w:val="0"/>
                <w:iCs w:val="0"/>
                <w:color w:val="000000"/>
                <w:sz w:val="22"/>
                <w:szCs w:val="22"/>
                <w:u w:val="none"/>
              </w:rPr>
            </w:pPr>
          </w:p>
        </w:tc>
        <w:tc>
          <w:tcPr>
            <w:tcW w:w="19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7D4D9A">
            <w:pPr>
              <w:jc w:val="center"/>
              <w:rPr>
                <w:rFonts w:hint="eastAsia" w:ascii="宋体" w:hAnsi="宋体" w:eastAsia="宋体" w:cs="宋体"/>
                <w:i w:val="0"/>
                <w:iCs w:val="0"/>
                <w:color w:val="000000"/>
                <w:sz w:val="22"/>
                <w:szCs w:val="22"/>
                <w:u w:val="none"/>
              </w:rPr>
            </w:pPr>
          </w:p>
        </w:tc>
        <w:tc>
          <w:tcPr>
            <w:tcW w:w="1929" w:type="dxa"/>
            <w:vMerge w:val="continue"/>
            <w:tcBorders>
              <w:top w:val="single" w:color="000000" w:sz="4" w:space="0"/>
              <w:left w:val="single" w:color="000000" w:sz="4" w:space="0"/>
              <w:bottom w:val="single" w:color="000000" w:sz="4" w:space="0"/>
              <w:right w:val="single" w:color="000000" w:sz="4" w:space="0"/>
            </w:tcBorders>
            <w:noWrap/>
            <w:vAlign w:val="center"/>
          </w:tcPr>
          <w:p w14:paraId="24CD25A9">
            <w:pPr>
              <w:jc w:val="center"/>
              <w:rPr>
                <w:rFonts w:hint="eastAsia" w:ascii="宋体" w:hAnsi="宋体" w:eastAsia="宋体" w:cs="宋体"/>
                <w:i w:val="0"/>
                <w:iCs w:val="0"/>
                <w:color w:val="000000"/>
                <w:sz w:val="22"/>
                <w:szCs w:val="22"/>
                <w:u w:val="none"/>
              </w:rPr>
            </w:pPr>
          </w:p>
        </w:tc>
        <w:tc>
          <w:tcPr>
            <w:tcW w:w="2036" w:type="dxa"/>
            <w:vMerge w:val="continue"/>
            <w:tcBorders>
              <w:top w:val="single" w:color="000000" w:sz="4" w:space="0"/>
              <w:left w:val="single" w:color="000000" w:sz="4" w:space="0"/>
              <w:bottom w:val="single" w:color="000000" w:sz="4" w:space="0"/>
              <w:right w:val="single" w:color="000000" w:sz="4" w:space="0"/>
            </w:tcBorders>
            <w:noWrap/>
            <w:vAlign w:val="center"/>
          </w:tcPr>
          <w:p w14:paraId="1AB35E33">
            <w:pPr>
              <w:jc w:val="center"/>
              <w:rPr>
                <w:rFonts w:hint="eastAsia" w:ascii="宋体" w:hAnsi="宋体" w:eastAsia="宋体" w:cs="宋体"/>
                <w:i w:val="0"/>
                <w:iCs w:val="0"/>
                <w:color w:val="000000"/>
                <w:sz w:val="22"/>
                <w:szCs w:val="22"/>
                <w:u w:val="none"/>
              </w:rPr>
            </w:pPr>
          </w:p>
        </w:tc>
      </w:tr>
      <w:tr w14:paraId="328BA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2" w:type="dxa"/>
            <w:vMerge w:val="continue"/>
            <w:tcBorders>
              <w:top w:val="single" w:color="000000" w:sz="4" w:space="0"/>
              <w:left w:val="single" w:color="000000" w:sz="4" w:space="0"/>
              <w:bottom w:val="single" w:color="000000" w:sz="4" w:space="0"/>
              <w:right w:val="single" w:color="000000" w:sz="4" w:space="0"/>
            </w:tcBorders>
            <w:noWrap/>
            <w:vAlign w:val="center"/>
          </w:tcPr>
          <w:p w14:paraId="73CF5728">
            <w:pPr>
              <w:jc w:val="center"/>
              <w:rPr>
                <w:rFonts w:hint="eastAsia" w:ascii="宋体" w:hAnsi="宋体" w:eastAsia="宋体" w:cs="宋体"/>
                <w:i w:val="0"/>
                <w:iCs w:val="0"/>
                <w:color w:val="000000"/>
                <w:sz w:val="22"/>
                <w:szCs w:val="22"/>
                <w:u w:val="none"/>
              </w:rPr>
            </w:pPr>
          </w:p>
        </w:tc>
        <w:tc>
          <w:tcPr>
            <w:tcW w:w="957" w:type="dxa"/>
            <w:vMerge w:val="continue"/>
            <w:tcBorders>
              <w:top w:val="single" w:color="000000" w:sz="4" w:space="0"/>
              <w:left w:val="single" w:color="000000" w:sz="4" w:space="0"/>
              <w:bottom w:val="single" w:color="000000" w:sz="4" w:space="0"/>
              <w:right w:val="single" w:color="000000" w:sz="4" w:space="0"/>
            </w:tcBorders>
            <w:noWrap/>
            <w:vAlign w:val="center"/>
          </w:tcPr>
          <w:p w14:paraId="07A8272C">
            <w:pPr>
              <w:jc w:val="center"/>
              <w:rPr>
                <w:rFonts w:hint="eastAsia" w:ascii="宋体" w:hAnsi="宋体" w:eastAsia="宋体" w:cs="宋体"/>
                <w:i w:val="0"/>
                <w:iCs w:val="0"/>
                <w:color w:val="000000"/>
                <w:sz w:val="22"/>
                <w:szCs w:val="22"/>
                <w:u w:val="none"/>
              </w:rPr>
            </w:pPr>
          </w:p>
        </w:tc>
        <w:tc>
          <w:tcPr>
            <w:tcW w:w="25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BD1E03">
            <w:pPr>
              <w:jc w:val="center"/>
              <w:rPr>
                <w:rFonts w:hint="eastAsia" w:ascii="宋体" w:hAnsi="宋体" w:eastAsia="宋体" w:cs="宋体"/>
                <w:i w:val="0"/>
                <w:iCs w:val="0"/>
                <w:color w:val="000000"/>
                <w:sz w:val="22"/>
                <w:szCs w:val="22"/>
                <w:u w:val="none"/>
              </w:rPr>
            </w:pPr>
          </w:p>
        </w:tc>
        <w:tc>
          <w:tcPr>
            <w:tcW w:w="1068" w:type="dxa"/>
            <w:vMerge w:val="continue"/>
            <w:tcBorders>
              <w:top w:val="single" w:color="000000" w:sz="4" w:space="0"/>
              <w:left w:val="single" w:color="000000" w:sz="4" w:space="0"/>
              <w:bottom w:val="single" w:color="000000" w:sz="4" w:space="0"/>
              <w:right w:val="single" w:color="000000" w:sz="4" w:space="0"/>
            </w:tcBorders>
            <w:noWrap/>
            <w:vAlign w:val="center"/>
          </w:tcPr>
          <w:p w14:paraId="11091333">
            <w:pPr>
              <w:jc w:val="center"/>
              <w:rPr>
                <w:rFonts w:hint="eastAsia" w:ascii="宋体" w:hAnsi="宋体" w:eastAsia="宋体" w:cs="宋体"/>
                <w:i w:val="0"/>
                <w:iCs w:val="0"/>
                <w:color w:val="000000"/>
                <w:sz w:val="22"/>
                <w:szCs w:val="22"/>
                <w:u w:val="none"/>
              </w:rPr>
            </w:pPr>
          </w:p>
        </w:tc>
        <w:tc>
          <w:tcPr>
            <w:tcW w:w="20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CF922C">
            <w:pPr>
              <w:jc w:val="center"/>
              <w:rPr>
                <w:rFonts w:hint="eastAsia" w:ascii="宋体" w:hAnsi="宋体" w:eastAsia="宋体" w:cs="宋体"/>
                <w:i w:val="0"/>
                <w:iCs w:val="0"/>
                <w:color w:val="000000"/>
                <w:sz w:val="22"/>
                <w:szCs w:val="22"/>
                <w:u w:val="none"/>
              </w:rPr>
            </w:pPr>
          </w:p>
        </w:tc>
        <w:tc>
          <w:tcPr>
            <w:tcW w:w="202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3AFFB8">
            <w:pPr>
              <w:jc w:val="center"/>
              <w:rPr>
                <w:rFonts w:hint="eastAsia" w:ascii="宋体" w:hAnsi="宋体" w:eastAsia="宋体" w:cs="宋体"/>
                <w:i w:val="0"/>
                <w:iCs w:val="0"/>
                <w:color w:val="000000"/>
                <w:sz w:val="22"/>
                <w:szCs w:val="22"/>
                <w:u w:val="none"/>
              </w:rPr>
            </w:pPr>
          </w:p>
        </w:tc>
        <w:tc>
          <w:tcPr>
            <w:tcW w:w="19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1617F3">
            <w:pPr>
              <w:jc w:val="center"/>
              <w:rPr>
                <w:rFonts w:hint="eastAsia" w:ascii="宋体" w:hAnsi="宋体" w:eastAsia="宋体" w:cs="宋体"/>
                <w:i w:val="0"/>
                <w:iCs w:val="0"/>
                <w:color w:val="000000"/>
                <w:sz w:val="22"/>
                <w:szCs w:val="22"/>
                <w:u w:val="none"/>
              </w:rPr>
            </w:pPr>
          </w:p>
        </w:tc>
        <w:tc>
          <w:tcPr>
            <w:tcW w:w="1929" w:type="dxa"/>
            <w:vMerge w:val="continue"/>
            <w:tcBorders>
              <w:top w:val="single" w:color="000000" w:sz="4" w:space="0"/>
              <w:left w:val="single" w:color="000000" w:sz="4" w:space="0"/>
              <w:bottom w:val="single" w:color="000000" w:sz="4" w:space="0"/>
              <w:right w:val="single" w:color="000000" w:sz="4" w:space="0"/>
            </w:tcBorders>
            <w:noWrap/>
            <w:vAlign w:val="center"/>
          </w:tcPr>
          <w:p w14:paraId="4DD096AA">
            <w:pPr>
              <w:jc w:val="center"/>
              <w:rPr>
                <w:rFonts w:hint="eastAsia" w:ascii="宋体" w:hAnsi="宋体" w:eastAsia="宋体" w:cs="宋体"/>
                <w:i w:val="0"/>
                <w:iCs w:val="0"/>
                <w:color w:val="000000"/>
                <w:sz w:val="22"/>
                <w:szCs w:val="22"/>
                <w:u w:val="none"/>
              </w:rPr>
            </w:pPr>
          </w:p>
        </w:tc>
        <w:tc>
          <w:tcPr>
            <w:tcW w:w="2036" w:type="dxa"/>
            <w:vMerge w:val="continue"/>
            <w:tcBorders>
              <w:top w:val="single" w:color="000000" w:sz="4" w:space="0"/>
              <w:left w:val="single" w:color="000000" w:sz="4" w:space="0"/>
              <w:bottom w:val="single" w:color="000000" w:sz="4" w:space="0"/>
              <w:right w:val="single" w:color="000000" w:sz="4" w:space="0"/>
            </w:tcBorders>
            <w:noWrap/>
            <w:vAlign w:val="center"/>
          </w:tcPr>
          <w:p w14:paraId="775B6847">
            <w:pPr>
              <w:jc w:val="center"/>
              <w:rPr>
                <w:rFonts w:hint="eastAsia" w:ascii="宋体" w:hAnsi="宋体" w:eastAsia="宋体" w:cs="宋体"/>
                <w:i w:val="0"/>
                <w:iCs w:val="0"/>
                <w:color w:val="000000"/>
                <w:sz w:val="22"/>
                <w:szCs w:val="22"/>
                <w:u w:val="none"/>
              </w:rPr>
            </w:pPr>
          </w:p>
        </w:tc>
      </w:tr>
      <w:tr w14:paraId="3F13E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5320" w:type="dxa"/>
            <w:gridSpan w:val="9"/>
            <w:vMerge w:val="restart"/>
            <w:tcBorders>
              <w:top w:val="nil"/>
              <w:left w:val="nil"/>
              <w:bottom w:val="nil"/>
              <w:right w:val="nil"/>
            </w:tcBorders>
            <w:noWrap w:val="0"/>
            <w:vAlign w:val="center"/>
          </w:tcPr>
          <w:p w14:paraId="053D06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要求：1.至少每年由管理代表组织对减排计划进行一次复审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2.在出现任何超过内部或外部规定的排放限值后，在企业出现控制缺陷迹象时，对此计划进行审查。</w:t>
            </w:r>
          </w:p>
        </w:tc>
      </w:tr>
      <w:tr w14:paraId="26ACF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15320" w:type="dxa"/>
            <w:gridSpan w:val="9"/>
            <w:vMerge w:val="continue"/>
            <w:tcBorders>
              <w:top w:val="nil"/>
              <w:left w:val="nil"/>
              <w:bottom w:val="nil"/>
              <w:right w:val="nil"/>
            </w:tcBorders>
            <w:noWrap w:val="0"/>
            <w:vAlign w:val="center"/>
          </w:tcPr>
          <w:p w14:paraId="77F31FB4">
            <w:pPr>
              <w:jc w:val="left"/>
              <w:rPr>
                <w:rFonts w:hint="eastAsia" w:ascii="宋体" w:hAnsi="宋体" w:eastAsia="宋体" w:cs="宋体"/>
                <w:i w:val="0"/>
                <w:iCs w:val="0"/>
                <w:color w:val="000000"/>
                <w:sz w:val="22"/>
                <w:szCs w:val="22"/>
                <w:u w:val="none"/>
              </w:rPr>
            </w:pPr>
          </w:p>
        </w:tc>
      </w:tr>
      <w:tr w14:paraId="0EBFE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2" w:type="dxa"/>
            <w:tcBorders>
              <w:top w:val="nil"/>
              <w:left w:val="nil"/>
              <w:bottom w:val="nil"/>
              <w:right w:val="nil"/>
            </w:tcBorders>
            <w:noWrap/>
            <w:vAlign w:val="center"/>
          </w:tcPr>
          <w:p w14:paraId="700B8653">
            <w:pPr>
              <w:rPr>
                <w:rFonts w:hint="eastAsia" w:ascii="宋体" w:hAnsi="宋体" w:eastAsia="宋体" w:cs="宋体"/>
                <w:i w:val="0"/>
                <w:iCs w:val="0"/>
                <w:color w:val="000000"/>
                <w:sz w:val="22"/>
                <w:szCs w:val="22"/>
                <w:u w:val="none"/>
              </w:rPr>
            </w:pPr>
          </w:p>
        </w:tc>
        <w:tc>
          <w:tcPr>
            <w:tcW w:w="957" w:type="dxa"/>
            <w:tcBorders>
              <w:top w:val="nil"/>
              <w:left w:val="nil"/>
              <w:bottom w:val="nil"/>
              <w:right w:val="nil"/>
            </w:tcBorders>
            <w:noWrap/>
            <w:vAlign w:val="center"/>
          </w:tcPr>
          <w:p w14:paraId="46D9C37A">
            <w:pPr>
              <w:rPr>
                <w:rFonts w:hint="eastAsia" w:ascii="宋体" w:hAnsi="宋体" w:eastAsia="宋体" w:cs="宋体"/>
                <w:i w:val="0"/>
                <w:iCs w:val="0"/>
                <w:color w:val="000000"/>
                <w:sz w:val="22"/>
                <w:szCs w:val="22"/>
                <w:u w:val="none"/>
              </w:rPr>
            </w:pPr>
          </w:p>
        </w:tc>
        <w:tc>
          <w:tcPr>
            <w:tcW w:w="2550" w:type="dxa"/>
            <w:tcBorders>
              <w:top w:val="nil"/>
              <w:left w:val="nil"/>
              <w:bottom w:val="nil"/>
              <w:right w:val="nil"/>
            </w:tcBorders>
            <w:noWrap/>
            <w:vAlign w:val="center"/>
          </w:tcPr>
          <w:p w14:paraId="4DF8A2F1">
            <w:pPr>
              <w:rPr>
                <w:rFonts w:hint="eastAsia" w:ascii="宋体" w:hAnsi="宋体" w:eastAsia="宋体" w:cs="宋体"/>
                <w:i w:val="0"/>
                <w:iCs w:val="0"/>
                <w:color w:val="000000"/>
                <w:sz w:val="22"/>
                <w:szCs w:val="22"/>
                <w:u w:val="none"/>
              </w:rPr>
            </w:pPr>
          </w:p>
        </w:tc>
        <w:tc>
          <w:tcPr>
            <w:tcW w:w="1068" w:type="dxa"/>
            <w:tcBorders>
              <w:top w:val="nil"/>
              <w:left w:val="nil"/>
              <w:bottom w:val="nil"/>
              <w:right w:val="nil"/>
            </w:tcBorders>
            <w:noWrap/>
            <w:vAlign w:val="center"/>
          </w:tcPr>
          <w:p w14:paraId="4F0BAA5C">
            <w:pPr>
              <w:rPr>
                <w:rFonts w:hint="eastAsia" w:ascii="宋体" w:hAnsi="宋体" w:eastAsia="宋体" w:cs="宋体"/>
                <w:i w:val="0"/>
                <w:iCs w:val="0"/>
                <w:color w:val="000000"/>
                <w:sz w:val="22"/>
                <w:szCs w:val="22"/>
                <w:u w:val="none"/>
              </w:rPr>
            </w:pPr>
          </w:p>
        </w:tc>
        <w:tc>
          <w:tcPr>
            <w:tcW w:w="2042" w:type="dxa"/>
            <w:tcBorders>
              <w:top w:val="nil"/>
              <w:left w:val="nil"/>
              <w:bottom w:val="nil"/>
              <w:right w:val="nil"/>
            </w:tcBorders>
            <w:noWrap/>
            <w:vAlign w:val="center"/>
          </w:tcPr>
          <w:p w14:paraId="7C6645B1">
            <w:pPr>
              <w:rPr>
                <w:rFonts w:hint="eastAsia" w:ascii="宋体" w:hAnsi="宋体" w:eastAsia="宋体" w:cs="宋体"/>
                <w:i w:val="0"/>
                <w:iCs w:val="0"/>
                <w:color w:val="000000"/>
                <w:sz w:val="22"/>
                <w:szCs w:val="22"/>
                <w:u w:val="none"/>
              </w:rPr>
            </w:pPr>
          </w:p>
        </w:tc>
        <w:tc>
          <w:tcPr>
            <w:tcW w:w="2023" w:type="dxa"/>
            <w:tcBorders>
              <w:top w:val="nil"/>
              <w:left w:val="nil"/>
              <w:bottom w:val="nil"/>
              <w:right w:val="nil"/>
            </w:tcBorders>
            <w:noWrap/>
            <w:vAlign w:val="center"/>
          </w:tcPr>
          <w:p w14:paraId="6EE35947">
            <w:pPr>
              <w:rPr>
                <w:rFonts w:hint="eastAsia" w:ascii="宋体" w:hAnsi="宋体" w:eastAsia="宋体" w:cs="宋体"/>
                <w:i w:val="0"/>
                <w:iCs w:val="0"/>
                <w:color w:val="000000"/>
                <w:sz w:val="22"/>
                <w:szCs w:val="22"/>
                <w:u w:val="none"/>
              </w:rPr>
            </w:pPr>
          </w:p>
        </w:tc>
        <w:tc>
          <w:tcPr>
            <w:tcW w:w="1993" w:type="dxa"/>
            <w:tcBorders>
              <w:top w:val="nil"/>
              <w:left w:val="nil"/>
              <w:bottom w:val="nil"/>
              <w:right w:val="nil"/>
            </w:tcBorders>
            <w:noWrap/>
            <w:vAlign w:val="center"/>
          </w:tcPr>
          <w:p w14:paraId="42DC6F3A">
            <w:pPr>
              <w:rPr>
                <w:rFonts w:hint="eastAsia" w:ascii="宋体" w:hAnsi="宋体" w:eastAsia="宋体" w:cs="宋体"/>
                <w:i w:val="0"/>
                <w:iCs w:val="0"/>
                <w:color w:val="000000"/>
                <w:sz w:val="22"/>
                <w:szCs w:val="22"/>
                <w:u w:val="none"/>
              </w:rPr>
            </w:pPr>
          </w:p>
        </w:tc>
        <w:tc>
          <w:tcPr>
            <w:tcW w:w="1929" w:type="dxa"/>
            <w:tcBorders>
              <w:top w:val="nil"/>
              <w:left w:val="nil"/>
              <w:bottom w:val="nil"/>
              <w:right w:val="nil"/>
            </w:tcBorders>
            <w:noWrap/>
            <w:vAlign w:val="center"/>
          </w:tcPr>
          <w:p w14:paraId="091C5A42">
            <w:pPr>
              <w:rPr>
                <w:rFonts w:hint="eastAsia" w:ascii="宋体" w:hAnsi="宋体" w:eastAsia="宋体" w:cs="宋体"/>
                <w:i w:val="0"/>
                <w:iCs w:val="0"/>
                <w:color w:val="000000"/>
                <w:sz w:val="22"/>
                <w:szCs w:val="22"/>
                <w:u w:val="none"/>
              </w:rPr>
            </w:pPr>
          </w:p>
        </w:tc>
        <w:tc>
          <w:tcPr>
            <w:tcW w:w="2036" w:type="dxa"/>
            <w:tcBorders>
              <w:top w:val="nil"/>
              <w:left w:val="nil"/>
              <w:bottom w:val="nil"/>
              <w:right w:val="nil"/>
            </w:tcBorders>
            <w:noWrap/>
            <w:vAlign w:val="center"/>
          </w:tcPr>
          <w:p w14:paraId="2D95C0E1">
            <w:pPr>
              <w:rPr>
                <w:rFonts w:hint="eastAsia" w:ascii="宋体" w:hAnsi="宋体" w:eastAsia="宋体" w:cs="宋体"/>
                <w:i w:val="0"/>
                <w:iCs w:val="0"/>
                <w:color w:val="000000"/>
                <w:sz w:val="22"/>
                <w:szCs w:val="22"/>
                <w:u w:val="none"/>
              </w:rPr>
            </w:pPr>
          </w:p>
        </w:tc>
      </w:tr>
      <w:tr w14:paraId="53612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339" w:type="dxa"/>
            <w:gridSpan w:val="5"/>
            <w:tcBorders>
              <w:top w:val="nil"/>
              <w:left w:val="nil"/>
              <w:bottom w:val="nil"/>
              <w:right w:val="nil"/>
            </w:tcBorders>
            <w:noWrap/>
            <w:vAlign w:val="center"/>
          </w:tcPr>
          <w:p w14:paraId="4D804804">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编制/日期：黄运东   2026年8月20日</w:t>
            </w:r>
          </w:p>
        </w:tc>
        <w:tc>
          <w:tcPr>
            <w:tcW w:w="2023" w:type="dxa"/>
            <w:tcBorders>
              <w:top w:val="nil"/>
              <w:left w:val="nil"/>
              <w:bottom w:val="nil"/>
              <w:right w:val="nil"/>
            </w:tcBorders>
            <w:noWrap/>
            <w:vAlign w:val="center"/>
          </w:tcPr>
          <w:p w14:paraId="0EB3833D">
            <w:pPr>
              <w:rPr>
                <w:rFonts w:hint="eastAsia" w:ascii="宋体" w:hAnsi="宋体" w:eastAsia="宋体" w:cs="宋体"/>
                <w:i w:val="0"/>
                <w:iCs w:val="0"/>
                <w:color w:val="000000"/>
                <w:sz w:val="22"/>
                <w:szCs w:val="22"/>
                <w:u w:val="none"/>
              </w:rPr>
            </w:pPr>
          </w:p>
        </w:tc>
        <w:tc>
          <w:tcPr>
            <w:tcW w:w="1993" w:type="dxa"/>
            <w:tcBorders>
              <w:top w:val="nil"/>
              <w:left w:val="nil"/>
              <w:bottom w:val="nil"/>
              <w:right w:val="nil"/>
            </w:tcBorders>
            <w:noWrap/>
            <w:vAlign w:val="center"/>
          </w:tcPr>
          <w:p w14:paraId="45079558">
            <w:pPr>
              <w:rPr>
                <w:rFonts w:hint="eastAsia" w:ascii="宋体" w:hAnsi="宋体" w:eastAsia="宋体" w:cs="宋体"/>
                <w:i w:val="0"/>
                <w:iCs w:val="0"/>
                <w:color w:val="000000"/>
                <w:sz w:val="22"/>
                <w:szCs w:val="22"/>
                <w:u w:val="none"/>
              </w:rPr>
            </w:pPr>
          </w:p>
        </w:tc>
        <w:tc>
          <w:tcPr>
            <w:tcW w:w="1929" w:type="dxa"/>
            <w:tcBorders>
              <w:top w:val="nil"/>
              <w:left w:val="nil"/>
              <w:bottom w:val="nil"/>
              <w:right w:val="nil"/>
            </w:tcBorders>
            <w:noWrap/>
            <w:vAlign w:val="center"/>
          </w:tcPr>
          <w:p w14:paraId="657DE3A8">
            <w:pPr>
              <w:rPr>
                <w:rFonts w:hint="eastAsia" w:ascii="宋体" w:hAnsi="宋体" w:eastAsia="宋体" w:cs="宋体"/>
                <w:i w:val="0"/>
                <w:iCs w:val="0"/>
                <w:color w:val="000000"/>
                <w:sz w:val="22"/>
                <w:szCs w:val="22"/>
                <w:u w:val="none"/>
              </w:rPr>
            </w:pPr>
          </w:p>
        </w:tc>
        <w:tc>
          <w:tcPr>
            <w:tcW w:w="2036" w:type="dxa"/>
            <w:tcBorders>
              <w:top w:val="nil"/>
              <w:left w:val="nil"/>
              <w:bottom w:val="nil"/>
              <w:right w:val="nil"/>
            </w:tcBorders>
            <w:noWrap/>
            <w:vAlign w:val="center"/>
          </w:tcPr>
          <w:p w14:paraId="0BA43C4B">
            <w:pPr>
              <w:rPr>
                <w:rFonts w:hint="eastAsia" w:ascii="宋体" w:hAnsi="宋体" w:eastAsia="宋体" w:cs="宋体"/>
                <w:i w:val="0"/>
                <w:iCs w:val="0"/>
                <w:color w:val="000000"/>
                <w:sz w:val="22"/>
                <w:szCs w:val="22"/>
                <w:u w:val="none"/>
              </w:rPr>
            </w:pPr>
          </w:p>
        </w:tc>
      </w:tr>
      <w:tr w14:paraId="2CCEF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22" w:type="dxa"/>
            <w:tcBorders>
              <w:top w:val="nil"/>
              <w:left w:val="nil"/>
              <w:bottom w:val="nil"/>
              <w:right w:val="nil"/>
            </w:tcBorders>
            <w:noWrap/>
            <w:vAlign w:val="center"/>
          </w:tcPr>
          <w:p w14:paraId="2DCE6594">
            <w:pPr>
              <w:rPr>
                <w:rFonts w:hint="eastAsia" w:ascii="宋体" w:hAnsi="宋体" w:eastAsia="宋体" w:cs="宋体"/>
                <w:i w:val="0"/>
                <w:iCs w:val="0"/>
                <w:color w:val="000000"/>
                <w:sz w:val="22"/>
                <w:szCs w:val="22"/>
                <w:u w:val="none"/>
              </w:rPr>
            </w:pPr>
          </w:p>
        </w:tc>
        <w:tc>
          <w:tcPr>
            <w:tcW w:w="957" w:type="dxa"/>
            <w:tcBorders>
              <w:top w:val="nil"/>
              <w:left w:val="nil"/>
              <w:bottom w:val="nil"/>
              <w:right w:val="nil"/>
            </w:tcBorders>
            <w:noWrap/>
            <w:vAlign w:val="center"/>
          </w:tcPr>
          <w:p w14:paraId="7B89A957">
            <w:pPr>
              <w:rPr>
                <w:rFonts w:hint="eastAsia" w:ascii="宋体" w:hAnsi="宋体" w:eastAsia="宋体" w:cs="宋体"/>
                <w:i w:val="0"/>
                <w:iCs w:val="0"/>
                <w:color w:val="000000"/>
                <w:sz w:val="22"/>
                <w:szCs w:val="22"/>
                <w:u w:val="none"/>
              </w:rPr>
            </w:pPr>
          </w:p>
        </w:tc>
        <w:tc>
          <w:tcPr>
            <w:tcW w:w="2550" w:type="dxa"/>
            <w:tcBorders>
              <w:top w:val="nil"/>
              <w:left w:val="nil"/>
              <w:bottom w:val="nil"/>
              <w:right w:val="nil"/>
            </w:tcBorders>
            <w:noWrap/>
            <w:vAlign w:val="center"/>
          </w:tcPr>
          <w:p w14:paraId="4EBD0CF7">
            <w:pPr>
              <w:rPr>
                <w:rFonts w:hint="eastAsia" w:ascii="宋体" w:hAnsi="宋体" w:eastAsia="宋体" w:cs="宋体"/>
                <w:i w:val="0"/>
                <w:iCs w:val="0"/>
                <w:color w:val="000000"/>
                <w:sz w:val="22"/>
                <w:szCs w:val="22"/>
                <w:u w:val="none"/>
              </w:rPr>
            </w:pPr>
          </w:p>
        </w:tc>
        <w:tc>
          <w:tcPr>
            <w:tcW w:w="1068" w:type="dxa"/>
            <w:tcBorders>
              <w:top w:val="nil"/>
              <w:left w:val="nil"/>
              <w:bottom w:val="nil"/>
              <w:right w:val="nil"/>
            </w:tcBorders>
            <w:noWrap/>
            <w:vAlign w:val="center"/>
          </w:tcPr>
          <w:p w14:paraId="75A3F12A">
            <w:pPr>
              <w:rPr>
                <w:rFonts w:hint="eastAsia" w:ascii="宋体" w:hAnsi="宋体" w:eastAsia="宋体" w:cs="宋体"/>
                <w:i w:val="0"/>
                <w:iCs w:val="0"/>
                <w:color w:val="000000"/>
                <w:sz w:val="22"/>
                <w:szCs w:val="22"/>
                <w:u w:val="none"/>
              </w:rPr>
            </w:pPr>
          </w:p>
        </w:tc>
        <w:tc>
          <w:tcPr>
            <w:tcW w:w="2042" w:type="dxa"/>
            <w:tcBorders>
              <w:top w:val="nil"/>
              <w:left w:val="nil"/>
              <w:bottom w:val="nil"/>
              <w:right w:val="nil"/>
            </w:tcBorders>
            <w:noWrap/>
            <w:vAlign w:val="center"/>
          </w:tcPr>
          <w:p w14:paraId="69F9A533">
            <w:pPr>
              <w:rPr>
                <w:rFonts w:hint="eastAsia" w:ascii="宋体" w:hAnsi="宋体" w:eastAsia="宋体" w:cs="宋体"/>
                <w:i w:val="0"/>
                <w:iCs w:val="0"/>
                <w:color w:val="000000"/>
                <w:sz w:val="22"/>
                <w:szCs w:val="22"/>
                <w:u w:val="none"/>
              </w:rPr>
            </w:pPr>
          </w:p>
        </w:tc>
        <w:tc>
          <w:tcPr>
            <w:tcW w:w="2023" w:type="dxa"/>
            <w:tcBorders>
              <w:top w:val="nil"/>
              <w:left w:val="nil"/>
              <w:bottom w:val="nil"/>
              <w:right w:val="nil"/>
            </w:tcBorders>
            <w:noWrap/>
            <w:vAlign w:val="center"/>
          </w:tcPr>
          <w:p w14:paraId="73401282">
            <w:pPr>
              <w:rPr>
                <w:rFonts w:hint="eastAsia" w:ascii="宋体" w:hAnsi="宋体" w:eastAsia="宋体" w:cs="宋体"/>
                <w:i w:val="0"/>
                <w:iCs w:val="0"/>
                <w:color w:val="000000"/>
                <w:sz w:val="22"/>
                <w:szCs w:val="22"/>
                <w:u w:val="none"/>
              </w:rPr>
            </w:pPr>
          </w:p>
        </w:tc>
        <w:tc>
          <w:tcPr>
            <w:tcW w:w="1993" w:type="dxa"/>
            <w:tcBorders>
              <w:top w:val="nil"/>
              <w:left w:val="nil"/>
              <w:bottom w:val="nil"/>
              <w:right w:val="nil"/>
            </w:tcBorders>
            <w:noWrap/>
            <w:vAlign w:val="center"/>
          </w:tcPr>
          <w:p w14:paraId="2B7D481D">
            <w:pPr>
              <w:rPr>
                <w:rFonts w:hint="eastAsia" w:ascii="宋体" w:hAnsi="宋体" w:eastAsia="宋体" w:cs="宋体"/>
                <w:i w:val="0"/>
                <w:iCs w:val="0"/>
                <w:color w:val="000000"/>
                <w:sz w:val="22"/>
                <w:szCs w:val="22"/>
                <w:u w:val="none"/>
              </w:rPr>
            </w:pPr>
          </w:p>
        </w:tc>
        <w:tc>
          <w:tcPr>
            <w:tcW w:w="1929" w:type="dxa"/>
            <w:tcBorders>
              <w:top w:val="nil"/>
              <w:left w:val="nil"/>
              <w:bottom w:val="nil"/>
              <w:right w:val="nil"/>
            </w:tcBorders>
            <w:noWrap/>
            <w:vAlign w:val="center"/>
          </w:tcPr>
          <w:p w14:paraId="350538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审批：林国城</w:t>
            </w:r>
          </w:p>
        </w:tc>
        <w:tc>
          <w:tcPr>
            <w:tcW w:w="2036" w:type="dxa"/>
            <w:tcBorders>
              <w:top w:val="nil"/>
              <w:left w:val="nil"/>
              <w:bottom w:val="nil"/>
              <w:right w:val="nil"/>
            </w:tcBorders>
            <w:noWrap/>
            <w:vAlign w:val="center"/>
          </w:tcPr>
          <w:p w14:paraId="5192FE95">
            <w:pPr>
              <w:rPr>
                <w:rFonts w:hint="eastAsia" w:ascii="宋体" w:hAnsi="宋体" w:eastAsia="宋体" w:cs="宋体"/>
                <w:i w:val="0"/>
                <w:iCs w:val="0"/>
                <w:color w:val="000000"/>
                <w:sz w:val="22"/>
                <w:szCs w:val="22"/>
                <w:u w:val="none"/>
              </w:rPr>
            </w:pPr>
          </w:p>
        </w:tc>
      </w:tr>
    </w:tbl>
    <w:p w14:paraId="738B03DE"/>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720AA9"/>
    <w:rsid w:val="0F720AA9"/>
    <w:rsid w:val="16D47282"/>
    <w:rsid w:val="22471F8B"/>
    <w:rsid w:val="29930F11"/>
    <w:rsid w:val="6AA718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alloon Text"/>
    <w:basedOn w:val="1"/>
    <w:next w:val="3"/>
    <w:unhideWhenUsed/>
    <w:qFormat/>
    <w:uiPriority w:val="99"/>
    <w:rPr>
      <w:sz w:val="18"/>
      <w:szCs w:val="18"/>
    </w:rPr>
  </w:style>
  <w:style w:type="paragraph" w:styleId="3">
    <w:name w:val="endnote text"/>
    <w:basedOn w:val="1"/>
    <w:unhideWhenUsed/>
    <w:qFormat/>
    <w:uiPriority w:val="99"/>
    <w:pPr>
      <w:snapToGrid w:val="0"/>
      <w:jc w:val="left"/>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customStyle="1" w:styleId="9">
    <w:name w:val="font21"/>
    <w:basedOn w:val="7"/>
    <w:uiPriority w:val="0"/>
    <w:rPr>
      <w:rFonts w:ascii="宋体" w:hAnsi="宋体" w:eastAsia="宋体" w:cs="宋体"/>
      <w:color w:val="000000"/>
      <w:sz w:val="22"/>
      <w:szCs w:val="22"/>
      <w:u w:val="none"/>
    </w:rPr>
  </w:style>
  <w:style w:type="character" w:customStyle="1" w:styleId="10">
    <w:name w:val="font01"/>
    <w:basedOn w:val="7"/>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2026-09-03T13:55:00Z</dcterms:created>
  <dc:creator>WPS_1685930518</dc:creator>
  <cp:lastModifiedBy>WPS_1685930518</cp:lastModifiedBy>
  <dcterms:modified xsi:type="dcterms:W3CDTF">2026-09-03T14:35:25Z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AF31DA21106A4E799F73925FCA415E55_11</vt:lpwstr>
  </property>
  <property fmtid="{D5CDD505-2E9C-101B-9397-08002B2CF9AE}" pid="4" name="KSOTemplateDocerSaveRecord">
    <vt:lpwstr>eyJoZGlkIjoiOTYzZDZhYjg2ZWRhM2IzZGM0ZDYwNDFmMmIxNmE1YmEiLCJ1c2VySWQiOiIxNDk4Njk5Nzk3In0=</vt:lpwstr>
  </property>
</Properties>
</file>