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560" w:lineRule="exact"/>
        <w:ind w:right="57"/>
        <w:jc w:val="center"/>
        <w:textAlignment w:val="auto"/>
        <w:rPr>
          <w:rFonts w:hint="eastAsia" w:ascii="宋体" w:hAnsi="宋体" w:eastAsia="宋体" w:cs="宋体"/>
          <w:b/>
          <w:bCs/>
          <w:color w:val="auto"/>
          <w:sz w:val="44"/>
          <w:szCs w:val="44"/>
          <w:highlight w:val="none"/>
          <w:lang w:eastAsia="zh-CN"/>
        </w:rPr>
      </w:pPr>
      <w:r>
        <w:rPr>
          <w:rFonts w:hint="eastAsia" w:ascii="宋体" w:hAnsi="宋体" w:eastAsia="宋体" w:cs="宋体"/>
          <w:b/>
          <w:bCs/>
          <w:color w:val="auto"/>
          <w:sz w:val="44"/>
          <w:szCs w:val="44"/>
          <w:highlight w:val="none"/>
          <w:lang w:eastAsia="zh-CN"/>
        </w:rPr>
        <w:t>福建省南平铝业股份有限公司</w:t>
      </w:r>
    </w:p>
    <w:p>
      <w:pPr>
        <w:pStyle w:val="2"/>
        <w:jc w:val="center"/>
        <w:rPr>
          <w:rFonts w:hint="eastAsia" w:ascii="宋体" w:hAnsi="宋体" w:eastAsia="宋体" w:cs="宋体"/>
          <w:b/>
          <w:bCs/>
          <w:sz w:val="44"/>
          <w:szCs w:val="44"/>
          <w:lang w:eastAsia="zh-CN"/>
        </w:rPr>
      </w:pPr>
      <w:r>
        <w:rPr>
          <w:rFonts w:hint="eastAsia" w:ascii="宋体" w:hAnsi="宋体" w:eastAsia="宋体" w:cs="宋体"/>
          <w:b/>
          <w:bCs/>
          <w:color w:val="auto"/>
          <w:sz w:val="44"/>
          <w:szCs w:val="44"/>
          <w:highlight w:val="none"/>
          <w:lang w:eastAsia="zh-CN"/>
        </w:rPr>
        <w:t>温室气体排放目标及实施方案</w:t>
      </w:r>
    </w:p>
    <w:p>
      <w:pPr>
        <w:keepNext w:val="0"/>
        <w:keepLines w:val="0"/>
        <w:pageBreakBefore w:val="0"/>
        <w:widowControl w:val="0"/>
        <w:kinsoku/>
        <w:wordWrap w:val="0"/>
        <w:overflowPunct/>
        <w:topLinePunct w:val="0"/>
        <w:autoSpaceDE/>
        <w:autoSpaceDN/>
        <w:bidi w:val="0"/>
        <w:adjustRightInd/>
        <w:snapToGrid/>
        <w:spacing w:line="560" w:lineRule="exact"/>
        <w:ind w:right="57" w:firstLine="640" w:firstLineChars="200"/>
        <w:textAlignment w:val="auto"/>
        <w:rPr>
          <w:rFonts w:hint="eastAsia" w:ascii="黑体" w:hAnsi="黑体" w:eastAsia="黑体" w:cs="黑体"/>
          <w:b w:val="0"/>
          <w:bCs w:val="0"/>
          <w:color w:val="auto"/>
          <w:sz w:val="32"/>
          <w:szCs w:val="32"/>
          <w:highlight w:val="none"/>
        </w:rPr>
      </w:pPr>
    </w:p>
    <w:p>
      <w:pPr>
        <w:keepNext w:val="0"/>
        <w:keepLines w:val="0"/>
        <w:pageBreakBefore w:val="0"/>
        <w:widowControl w:val="0"/>
        <w:kinsoku/>
        <w:wordWrap w:val="0"/>
        <w:overflowPunct/>
        <w:topLinePunct w:val="0"/>
        <w:autoSpaceDE/>
        <w:autoSpaceDN/>
        <w:bidi w:val="0"/>
        <w:adjustRightInd/>
        <w:snapToGrid/>
        <w:spacing w:line="560" w:lineRule="exact"/>
        <w:ind w:right="57" w:firstLine="640" w:firstLineChars="200"/>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rPr>
        <w:t>一、</w:t>
      </w:r>
      <w:r>
        <w:rPr>
          <w:rFonts w:hint="eastAsia" w:ascii="黑体" w:hAnsi="黑体" w:eastAsia="黑体" w:cs="黑体"/>
          <w:b w:val="0"/>
          <w:bCs w:val="0"/>
          <w:color w:val="auto"/>
          <w:sz w:val="32"/>
          <w:szCs w:val="32"/>
          <w:highlight w:val="none"/>
          <w:lang w:eastAsia="zh-CN"/>
        </w:rPr>
        <w:t>温室气体排放数据披露的边界</w:t>
      </w:r>
    </w:p>
    <w:p>
      <w:pPr>
        <w:keepNext w:val="0"/>
        <w:keepLines w:val="0"/>
        <w:pageBreakBefore w:val="0"/>
        <w:widowControl w:val="0"/>
        <w:kinsoku/>
        <w:wordWrap w:val="0"/>
        <w:overflowPunct/>
        <w:topLinePunct w:val="0"/>
        <w:autoSpaceDE/>
        <w:autoSpaceDN/>
        <w:bidi w:val="0"/>
        <w:adjustRightInd/>
        <w:snapToGrid/>
        <w:spacing w:line="560" w:lineRule="exact"/>
        <w:ind w:right="55" w:firstLine="640" w:firstLineChars="200"/>
        <w:textAlignment w:val="auto"/>
        <w:rPr>
          <w:rFonts w:hint="eastAsia" w:ascii="仿宋_GB2312" w:hAnsi="Calibri" w:eastAsia="仿宋_GB2312" w:cs="Times New Roman"/>
          <w:color w:val="auto"/>
          <w:sz w:val="32"/>
          <w:szCs w:val="32"/>
          <w:highlight w:val="none"/>
          <w:lang w:val="en-US"/>
        </w:rPr>
      </w:pPr>
      <w:r>
        <w:rPr>
          <w:rFonts w:hint="eastAsia" w:ascii="仿宋_GB2312" w:hAnsi="Calibri" w:eastAsia="仿宋_GB2312" w:cs="Times New Roman"/>
          <w:color w:val="auto"/>
          <w:kern w:val="2"/>
          <w:sz w:val="32"/>
          <w:szCs w:val="32"/>
          <w:highlight w:val="none"/>
          <w:lang w:val="en-US"/>
        </w:rPr>
        <w:t>福建省南平铝业股份有限公司（以下简称“南平铝业公司”）涉及的</w:t>
      </w:r>
      <w:r>
        <w:rPr>
          <w:rFonts w:hint="eastAsia" w:ascii="仿宋_GB2312" w:hAnsi="Calibri" w:eastAsia="仿宋_GB2312" w:cs="Times New Roman"/>
          <w:color w:val="auto"/>
          <w:kern w:val="2"/>
          <w:sz w:val="32"/>
          <w:szCs w:val="32"/>
          <w:highlight w:val="none"/>
          <w:lang w:val="en-US" w:eastAsia="zh-CN"/>
        </w:rPr>
        <w:t>20万吨/年铝合金圆铸锭生产线、10万吨/年铝合金建筑型材生产线、6万吨/年铝合金工业型材生产线</w:t>
      </w:r>
      <w:r>
        <w:rPr>
          <w:rFonts w:hint="eastAsia" w:ascii="仿宋_GB2312" w:hAnsi="Calibri" w:eastAsia="仿宋_GB2312" w:cs="Times New Roman"/>
          <w:color w:val="auto"/>
          <w:sz w:val="32"/>
          <w:szCs w:val="32"/>
          <w:highlight w:val="none"/>
          <w:lang w:val="en-US"/>
        </w:rPr>
        <w:t>。</w:t>
      </w:r>
    </w:p>
    <w:p>
      <w:pPr>
        <w:keepNext w:val="0"/>
        <w:keepLines w:val="0"/>
        <w:pageBreakBefore w:val="0"/>
        <w:widowControl w:val="0"/>
        <w:kinsoku/>
        <w:wordWrap w:val="0"/>
        <w:overflowPunct/>
        <w:topLinePunct w:val="0"/>
        <w:autoSpaceDE/>
        <w:autoSpaceDN/>
        <w:bidi w:val="0"/>
        <w:adjustRightInd/>
        <w:snapToGrid/>
        <w:spacing w:line="560" w:lineRule="exact"/>
        <w:ind w:right="57"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二、南平铝业公司碳达峰、碳中和目标</w:t>
      </w:r>
    </w:p>
    <w:p>
      <w:pPr>
        <w:keepNext w:val="0"/>
        <w:keepLines w:val="0"/>
        <w:pageBreakBefore w:val="0"/>
        <w:widowControl w:val="0"/>
        <w:kinsoku/>
        <w:wordWrap w:val="0"/>
        <w:overflowPunct/>
        <w:topLinePunct w:val="0"/>
        <w:autoSpaceDE/>
        <w:autoSpaceDN/>
        <w:bidi w:val="0"/>
        <w:adjustRightInd/>
        <w:snapToGrid/>
        <w:spacing w:line="560" w:lineRule="exact"/>
        <w:ind w:right="55" w:firstLine="640" w:firstLineChars="200"/>
        <w:textAlignment w:val="auto"/>
        <w:rPr>
          <w:rFonts w:hint="eastAsia" w:ascii="仿宋_GB2312" w:hAnsi="Calibri" w:eastAsia="仿宋_GB2312" w:cs="Times New Roman"/>
          <w:b w:val="0"/>
          <w:bCs w:val="0"/>
          <w:color w:val="auto"/>
          <w:kern w:val="2"/>
          <w:sz w:val="32"/>
          <w:szCs w:val="32"/>
          <w:highlight w:val="none"/>
          <w:lang w:val="zh-CN"/>
        </w:rPr>
      </w:pPr>
      <w:r>
        <w:rPr>
          <w:rFonts w:hint="eastAsia" w:ascii="仿宋_GB2312" w:hAnsi="Calibri" w:eastAsia="仿宋_GB2312" w:cs="Times New Roman"/>
          <w:b w:val="0"/>
          <w:bCs w:val="0"/>
          <w:color w:val="auto"/>
          <w:kern w:val="2"/>
          <w:sz w:val="32"/>
          <w:szCs w:val="32"/>
          <w:highlight w:val="none"/>
          <w:lang w:val="zh-CN"/>
        </w:rPr>
        <w:t>2030年，实现碳达峰；2050年，实现碳中和。</w:t>
      </w:r>
    </w:p>
    <w:p>
      <w:pPr>
        <w:keepNext w:val="0"/>
        <w:keepLines w:val="0"/>
        <w:pageBreakBefore w:val="0"/>
        <w:widowControl w:val="0"/>
        <w:numPr>
          <w:ilvl w:val="0"/>
          <w:numId w:val="1"/>
        </w:numPr>
        <w:tabs>
          <w:tab w:val="left" w:pos="772"/>
        </w:tabs>
        <w:kinsoku/>
        <w:wordWrap w:val="0"/>
        <w:overflowPunct/>
        <w:topLinePunct w:val="0"/>
        <w:autoSpaceDE/>
        <w:autoSpaceDN/>
        <w:bidi w:val="0"/>
        <w:adjustRightInd/>
        <w:snapToGrid/>
        <w:spacing w:line="560" w:lineRule="exact"/>
        <w:ind w:right="57" w:firstLine="640" w:firstLineChars="200"/>
        <w:textAlignment w:val="auto"/>
        <w:rPr>
          <w:rFonts w:hint="default"/>
          <w:lang w:val="en-US" w:eastAsia="zh-CN"/>
        </w:rPr>
      </w:pPr>
      <w:r>
        <w:rPr>
          <w:rFonts w:hint="eastAsia" w:ascii="黑体" w:hAnsi="黑体" w:eastAsia="黑体" w:cs="黑体"/>
          <w:b w:val="0"/>
          <w:bCs w:val="0"/>
          <w:color w:val="auto"/>
          <w:sz w:val="32"/>
          <w:szCs w:val="32"/>
          <w:highlight w:val="none"/>
          <w:lang w:val="en-US" w:eastAsia="zh-CN"/>
        </w:rPr>
        <w:t>领导小组</w:t>
      </w:r>
    </w:p>
    <w:p>
      <w:pPr>
        <w:keepNext w:val="0"/>
        <w:keepLines w:val="0"/>
        <w:pageBreakBefore w:val="0"/>
        <w:widowControl w:val="0"/>
        <w:kinsoku/>
        <w:wordWrap w:val="0"/>
        <w:overflowPunct/>
        <w:topLinePunct w:val="0"/>
        <w:autoSpaceDE/>
        <w:autoSpaceDN/>
        <w:bidi w:val="0"/>
        <w:adjustRightInd/>
        <w:snapToGrid/>
        <w:spacing w:line="560" w:lineRule="exact"/>
        <w:ind w:right="55" w:firstLine="640" w:firstLineChars="200"/>
        <w:textAlignment w:val="auto"/>
        <w:rPr>
          <w:rFonts w:hint="eastAsia" w:ascii="仿宋_GB2312" w:hAnsi="Calibri" w:eastAsia="仿宋_GB2312" w:cs="Times New Roman"/>
          <w:color w:val="auto"/>
          <w:kern w:val="2"/>
          <w:sz w:val="32"/>
          <w:szCs w:val="32"/>
          <w:highlight w:val="none"/>
          <w:lang w:val="en-US" w:eastAsia="zh-CN"/>
        </w:rPr>
      </w:pPr>
      <w:r>
        <w:rPr>
          <w:rFonts w:hint="default" w:ascii="仿宋_GB2312" w:hAnsi="Calibri" w:eastAsia="仿宋_GB2312" w:cs="Times New Roman"/>
          <w:color w:val="auto"/>
          <w:kern w:val="2"/>
          <w:sz w:val="32"/>
          <w:szCs w:val="32"/>
          <w:highlight w:val="none"/>
          <w:lang w:val="en-US" w:eastAsia="zh-CN"/>
        </w:rPr>
        <w:t>双碳战略委员会是公司落实“双碳”战略的顶层决策与领导机构，直接向公司最高决策层负责</w:t>
      </w:r>
      <w:r>
        <w:rPr>
          <w:rFonts w:hint="eastAsia" w:ascii="仿宋_GB2312" w:hAnsi="Calibri" w:eastAsia="仿宋_GB2312" w:cs="Times New Roman"/>
          <w:color w:val="auto"/>
          <w:kern w:val="2"/>
          <w:sz w:val="32"/>
          <w:szCs w:val="32"/>
          <w:highlight w:val="none"/>
          <w:lang w:val="en-US" w:eastAsia="zh-CN"/>
        </w:rPr>
        <w:t>。主任周策，副主任吴彩民，成员：陈德祥、路宝坤、徐志斌、吴世文、薛志全、陈则强、陈亚仁、陈隆彬、胡振权、黄小康。主要职责如下：</w:t>
      </w:r>
    </w:p>
    <w:p>
      <w:pPr>
        <w:keepNext w:val="0"/>
        <w:keepLines w:val="0"/>
        <w:pageBreakBefore w:val="0"/>
        <w:widowControl w:val="0"/>
        <w:kinsoku/>
        <w:wordWrap w:val="0"/>
        <w:overflowPunct/>
        <w:topLinePunct w:val="0"/>
        <w:autoSpaceDE/>
        <w:autoSpaceDN/>
        <w:bidi w:val="0"/>
        <w:adjustRightInd/>
        <w:snapToGrid/>
        <w:spacing w:line="560" w:lineRule="exact"/>
        <w:ind w:right="55" w:firstLine="640" w:firstLineChars="200"/>
        <w:textAlignment w:val="auto"/>
        <w:rPr>
          <w:rFonts w:hint="eastAsia" w:ascii="仿宋_GB2312" w:hAnsi="Calibri" w:eastAsia="仿宋_GB2312" w:cs="Times New Roman"/>
          <w:color w:val="auto"/>
          <w:kern w:val="2"/>
          <w:sz w:val="32"/>
          <w:szCs w:val="32"/>
          <w:highlight w:val="none"/>
          <w:lang w:val="en-US" w:eastAsia="zh-CN"/>
        </w:rPr>
      </w:pPr>
      <w:r>
        <w:rPr>
          <w:rFonts w:hint="eastAsia" w:ascii="仿宋_GB2312" w:hAnsi="Calibri" w:eastAsia="仿宋_GB2312" w:cs="Times New Roman"/>
          <w:color w:val="auto"/>
          <w:kern w:val="2"/>
          <w:sz w:val="32"/>
          <w:szCs w:val="32"/>
          <w:highlight w:val="none"/>
          <w:lang w:val="en-US" w:eastAsia="zh-CN"/>
        </w:rPr>
        <w:t>1.战略决策与方向引领：审议公司碳达峰、碳中和中长期战略、目标、实施路径及重大行动方案，确保与国家战略、行业趋势及公司可持续发展愿景一致。</w:t>
      </w:r>
    </w:p>
    <w:p>
      <w:pPr>
        <w:keepNext w:val="0"/>
        <w:keepLines w:val="0"/>
        <w:pageBreakBefore w:val="0"/>
        <w:widowControl w:val="0"/>
        <w:kinsoku/>
        <w:wordWrap w:val="0"/>
        <w:overflowPunct/>
        <w:topLinePunct w:val="0"/>
        <w:autoSpaceDE/>
        <w:autoSpaceDN/>
        <w:bidi w:val="0"/>
        <w:adjustRightInd/>
        <w:snapToGrid/>
        <w:spacing w:line="560" w:lineRule="exact"/>
        <w:ind w:right="55" w:firstLine="640" w:firstLineChars="200"/>
        <w:textAlignment w:val="auto"/>
        <w:rPr>
          <w:rFonts w:hint="eastAsia" w:ascii="仿宋_GB2312" w:hAnsi="Calibri" w:eastAsia="仿宋_GB2312" w:cs="Times New Roman"/>
          <w:color w:val="auto"/>
          <w:kern w:val="2"/>
          <w:sz w:val="32"/>
          <w:szCs w:val="32"/>
          <w:highlight w:val="none"/>
          <w:lang w:val="en-US" w:eastAsia="zh-CN"/>
        </w:rPr>
      </w:pPr>
      <w:r>
        <w:rPr>
          <w:rFonts w:hint="eastAsia" w:ascii="仿宋_GB2312" w:hAnsi="Calibri" w:eastAsia="仿宋_GB2312" w:cs="Times New Roman"/>
          <w:color w:val="auto"/>
          <w:kern w:val="2"/>
          <w:sz w:val="32"/>
          <w:szCs w:val="32"/>
          <w:highlight w:val="none"/>
          <w:lang w:val="en-US" w:eastAsia="zh-CN"/>
        </w:rPr>
        <w:t>2.顶层设计与政策审定：审定公司双碳相关管理制度、关键政策、管理体系架构及碳排放核算与报告标准。</w:t>
      </w:r>
    </w:p>
    <w:p>
      <w:pPr>
        <w:keepNext w:val="0"/>
        <w:keepLines w:val="0"/>
        <w:pageBreakBefore w:val="0"/>
        <w:widowControl w:val="0"/>
        <w:kinsoku/>
        <w:wordWrap w:val="0"/>
        <w:overflowPunct/>
        <w:topLinePunct w:val="0"/>
        <w:autoSpaceDE/>
        <w:autoSpaceDN/>
        <w:bidi w:val="0"/>
        <w:adjustRightInd/>
        <w:snapToGrid/>
        <w:spacing w:line="560" w:lineRule="exact"/>
        <w:ind w:right="55" w:firstLine="640" w:firstLineChars="200"/>
        <w:textAlignment w:val="auto"/>
        <w:rPr>
          <w:rFonts w:hint="eastAsia" w:ascii="仿宋_GB2312" w:hAnsi="Calibri" w:eastAsia="仿宋_GB2312" w:cs="Times New Roman"/>
          <w:color w:val="auto"/>
          <w:kern w:val="2"/>
          <w:sz w:val="32"/>
          <w:szCs w:val="32"/>
          <w:highlight w:val="none"/>
          <w:lang w:val="en-US" w:eastAsia="zh-CN"/>
        </w:rPr>
      </w:pPr>
      <w:r>
        <w:rPr>
          <w:rFonts w:hint="eastAsia" w:ascii="仿宋_GB2312" w:hAnsi="Calibri" w:eastAsia="仿宋_GB2312" w:cs="Times New Roman"/>
          <w:color w:val="auto"/>
          <w:kern w:val="2"/>
          <w:sz w:val="32"/>
          <w:szCs w:val="32"/>
          <w:highlight w:val="none"/>
          <w:lang w:val="en-US" w:eastAsia="zh-CN"/>
        </w:rPr>
        <w:t>3.资源统筹与重大决策：协调并决策实现双碳目标所需的重大资源配置（包括资金、技术、人才等），审批重大减碳项目、绿色投资及核心技术创新计划。</w:t>
      </w:r>
    </w:p>
    <w:p>
      <w:pPr>
        <w:keepNext w:val="0"/>
        <w:keepLines w:val="0"/>
        <w:pageBreakBefore w:val="0"/>
        <w:widowControl w:val="0"/>
        <w:kinsoku/>
        <w:wordWrap w:val="0"/>
        <w:overflowPunct/>
        <w:topLinePunct w:val="0"/>
        <w:autoSpaceDE/>
        <w:autoSpaceDN/>
        <w:bidi w:val="0"/>
        <w:adjustRightInd/>
        <w:snapToGrid/>
        <w:spacing w:line="560" w:lineRule="exact"/>
        <w:ind w:right="55" w:firstLine="640" w:firstLineChars="200"/>
        <w:textAlignment w:val="auto"/>
        <w:rPr>
          <w:rFonts w:hint="eastAsia" w:ascii="仿宋_GB2312" w:hAnsi="Calibri" w:eastAsia="仿宋_GB2312" w:cs="Times New Roman"/>
          <w:color w:val="auto"/>
          <w:kern w:val="2"/>
          <w:sz w:val="32"/>
          <w:szCs w:val="32"/>
          <w:highlight w:val="none"/>
          <w:lang w:val="en-US" w:eastAsia="zh-CN"/>
        </w:rPr>
      </w:pPr>
      <w:r>
        <w:rPr>
          <w:rFonts w:hint="eastAsia" w:ascii="仿宋_GB2312" w:hAnsi="Calibri" w:eastAsia="仿宋_GB2312" w:cs="Times New Roman"/>
          <w:color w:val="auto"/>
          <w:kern w:val="2"/>
          <w:sz w:val="32"/>
          <w:szCs w:val="32"/>
          <w:highlight w:val="none"/>
          <w:lang w:val="en-US" w:eastAsia="zh-CN"/>
        </w:rPr>
        <w:t>4.风险管控与绩效督导：评估双碳战略实施中的重大机遇与风险，监督公司双碳关键绩效指标完成情况，定期听取汇报并作出督导。</w:t>
      </w:r>
    </w:p>
    <w:p>
      <w:pPr>
        <w:keepNext w:val="0"/>
        <w:keepLines w:val="0"/>
        <w:pageBreakBefore w:val="0"/>
        <w:widowControl w:val="0"/>
        <w:kinsoku/>
        <w:wordWrap w:val="0"/>
        <w:overflowPunct/>
        <w:topLinePunct w:val="0"/>
        <w:autoSpaceDE/>
        <w:autoSpaceDN/>
        <w:bidi w:val="0"/>
        <w:adjustRightInd/>
        <w:snapToGrid/>
        <w:spacing w:line="560" w:lineRule="exact"/>
        <w:ind w:right="55" w:firstLine="640" w:firstLineChars="200"/>
        <w:textAlignment w:val="auto"/>
        <w:rPr>
          <w:rFonts w:hint="eastAsia" w:ascii="仿宋_GB2312" w:hAnsi="Calibri" w:eastAsia="仿宋_GB2312" w:cs="Times New Roman"/>
          <w:color w:val="auto"/>
          <w:kern w:val="2"/>
          <w:sz w:val="32"/>
          <w:szCs w:val="32"/>
          <w:highlight w:val="none"/>
          <w:lang w:val="en-US" w:eastAsia="zh-CN"/>
        </w:rPr>
      </w:pPr>
      <w:r>
        <w:rPr>
          <w:rFonts w:hint="eastAsia" w:ascii="仿宋_GB2312" w:hAnsi="Calibri" w:eastAsia="仿宋_GB2312" w:cs="Times New Roman"/>
          <w:color w:val="auto"/>
          <w:kern w:val="2"/>
          <w:sz w:val="32"/>
          <w:szCs w:val="32"/>
          <w:highlight w:val="none"/>
          <w:lang w:val="en-US" w:eastAsia="zh-CN"/>
        </w:rPr>
        <w:t>5.内外协调与声誉建设：代表公司开展双碳相关重大对外沟通、高端合作、政策响应与形象塑造工作，提升公司在绿色低碳领域的影响力。</w:t>
      </w:r>
    </w:p>
    <w:p>
      <w:pPr>
        <w:keepNext w:val="0"/>
        <w:keepLines w:val="0"/>
        <w:pageBreakBefore w:val="0"/>
        <w:widowControl w:val="0"/>
        <w:kinsoku/>
        <w:wordWrap w:val="0"/>
        <w:overflowPunct/>
        <w:topLinePunct w:val="0"/>
        <w:autoSpaceDE/>
        <w:autoSpaceDN/>
        <w:bidi w:val="0"/>
        <w:adjustRightInd/>
        <w:snapToGrid/>
        <w:spacing w:line="560" w:lineRule="exact"/>
        <w:ind w:right="55" w:firstLine="640" w:firstLineChars="200"/>
        <w:textAlignment w:val="auto"/>
        <w:rPr>
          <w:rFonts w:hint="eastAsia" w:ascii="仿宋_GB2312" w:hAnsi="Calibri" w:eastAsia="仿宋_GB2312" w:cs="Times New Roman"/>
          <w:color w:val="auto"/>
          <w:kern w:val="2"/>
          <w:sz w:val="32"/>
          <w:szCs w:val="32"/>
          <w:highlight w:val="none"/>
          <w:lang w:val="en-US" w:eastAsia="zh-CN"/>
        </w:rPr>
      </w:pPr>
      <w:r>
        <w:rPr>
          <w:rFonts w:hint="eastAsia" w:ascii="仿宋_GB2312" w:hAnsi="Calibri" w:eastAsia="仿宋_GB2312" w:cs="Times New Roman"/>
          <w:color w:val="auto"/>
          <w:kern w:val="2"/>
          <w:sz w:val="32"/>
          <w:szCs w:val="32"/>
          <w:highlight w:val="none"/>
          <w:lang w:val="en-US" w:eastAsia="zh-CN"/>
        </w:rPr>
        <w:t>6.文化培育与全员参与：推动绿色低碳理念融入企业文化，倡导全员参与，营造可持续发展氛围。</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Calibri" w:eastAsia="仿宋_GB2312" w:cs="Times New Roman"/>
          <w:color w:val="auto"/>
          <w:kern w:val="2"/>
          <w:sz w:val="32"/>
          <w:szCs w:val="32"/>
          <w:highlight w:val="none"/>
          <w:lang w:val="en-US" w:eastAsia="zh-CN" w:bidi="ar-SA"/>
        </w:rPr>
      </w:pPr>
      <w:r>
        <w:rPr>
          <w:rFonts w:hint="default" w:ascii="仿宋_GB2312" w:hAnsi="Calibri" w:eastAsia="仿宋_GB2312" w:cs="Times New Roman"/>
          <w:color w:val="auto"/>
          <w:kern w:val="2"/>
          <w:sz w:val="32"/>
          <w:szCs w:val="32"/>
          <w:highlight w:val="none"/>
          <w:lang w:val="en-US" w:eastAsia="zh-CN" w:bidi="ar-SA"/>
        </w:rPr>
        <w:t>委员会下设双碳战略委员会办公室（简称“双碳战略办”），设在战略发展部，作为委员会常设办事机构与公司双碳工作的具体协调、管理与推进部门</w:t>
      </w:r>
      <w:r>
        <w:rPr>
          <w:rFonts w:hint="eastAsia" w:ascii="仿宋_GB2312" w:hAnsi="Calibri" w:eastAsia="仿宋_GB2312" w:cs="Times New Roman"/>
          <w:color w:val="auto"/>
          <w:kern w:val="2"/>
          <w:sz w:val="32"/>
          <w:szCs w:val="32"/>
          <w:highlight w:val="none"/>
          <w:lang w:val="en-US" w:eastAsia="zh-CN" w:bidi="ar-SA"/>
        </w:rPr>
        <w:t>。</w:t>
      </w:r>
    </w:p>
    <w:p>
      <w:pPr>
        <w:keepNext w:val="0"/>
        <w:keepLines w:val="0"/>
        <w:pageBreakBefore w:val="0"/>
        <w:widowControl w:val="0"/>
        <w:tabs>
          <w:tab w:val="left" w:pos="772"/>
        </w:tabs>
        <w:kinsoku/>
        <w:wordWrap w:val="0"/>
        <w:overflowPunct/>
        <w:topLinePunct w:val="0"/>
        <w:autoSpaceDE/>
        <w:autoSpaceDN/>
        <w:bidi w:val="0"/>
        <w:adjustRightInd/>
        <w:snapToGrid/>
        <w:spacing w:line="560" w:lineRule="exact"/>
        <w:ind w:right="57" w:firstLine="640" w:firstLineChars="200"/>
        <w:textAlignment w:val="auto"/>
        <w:rPr>
          <w:rFonts w:hint="eastAsia" w:ascii="黑体" w:hAnsi="黑体" w:eastAsia="黑体" w:cs="黑体"/>
          <w:color w:val="auto"/>
          <w:sz w:val="32"/>
          <w:szCs w:val="32"/>
          <w:highlight w:val="none"/>
          <w:lang w:val="zh-CN"/>
        </w:rPr>
      </w:pPr>
      <w:r>
        <w:rPr>
          <w:rFonts w:hint="eastAsia" w:ascii="黑体" w:hAnsi="黑体" w:eastAsia="黑体" w:cs="黑体"/>
          <w:b w:val="0"/>
          <w:bCs w:val="0"/>
          <w:color w:val="auto"/>
          <w:sz w:val="32"/>
          <w:szCs w:val="32"/>
          <w:highlight w:val="none"/>
          <w:lang w:val="en-US" w:eastAsia="zh-CN"/>
        </w:rPr>
        <w:t>四、</w:t>
      </w:r>
      <w:r>
        <w:rPr>
          <w:rFonts w:hint="eastAsia" w:ascii="黑体" w:hAnsi="黑体" w:eastAsia="黑体" w:cs="黑体"/>
          <w:b w:val="0"/>
          <w:bCs w:val="0"/>
          <w:color w:val="auto"/>
          <w:sz w:val="32"/>
          <w:szCs w:val="32"/>
          <w:highlight w:val="none"/>
          <w:lang w:eastAsia="zh-CN"/>
        </w:rPr>
        <w:t>认证</w:t>
      </w:r>
      <w:r>
        <w:rPr>
          <w:rFonts w:hint="eastAsia" w:ascii="黑体" w:hAnsi="黑体" w:eastAsia="黑体" w:cs="黑体"/>
          <w:b w:val="0"/>
          <w:bCs w:val="0"/>
          <w:color w:val="auto"/>
          <w:sz w:val="32"/>
          <w:szCs w:val="32"/>
          <w:highlight w:val="none"/>
        </w:rPr>
        <w:t>范围温室气体短中期目标</w:t>
      </w:r>
    </w:p>
    <w:p>
      <w:pPr>
        <w:keepNext w:val="0"/>
        <w:keepLines w:val="0"/>
        <w:pageBreakBefore w:val="0"/>
        <w:widowControl w:val="0"/>
        <w:kinsoku/>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运用ASI温室气体排放核算工具，公司</w:t>
      </w:r>
      <w:r>
        <w:rPr>
          <w:rFonts w:hint="eastAsia" w:ascii="仿宋_GB2312" w:hAnsi="仿宋_GB2312" w:eastAsia="仿宋_GB2312" w:cs="仿宋_GB2312"/>
          <w:bCs/>
          <w:sz w:val="32"/>
          <w:szCs w:val="32"/>
        </w:rPr>
        <w:t>对</w:t>
      </w:r>
      <w:r>
        <w:rPr>
          <w:rFonts w:hint="eastAsia" w:ascii="仿宋_GB2312" w:hAnsi="仿宋_GB2312" w:eastAsia="仿宋_GB2312" w:cs="仿宋_GB2312"/>
          <w:bCs/>
          <w:sz w:val="32"/>
          <w:szCs w:val="32"/>
          <w:lang w:eastAsia="zh-CN"/>
        </w:rPr>
        <w:t>认证边界</w:t>
      </w:r>
      <w:r>
        <w:rPr>
          <w:rFonts w:hint="eastAsia" w:ascii="仿宋_GB2312" w:hAnsi="仿宋_GB2312" w:eastAsia="仿宋_GB2312" w:cs="仿宋_GB2312"/>
          <w:bCs/>
          <w:sz w:val="32"/>
          <w:szCs w:val="32"/>
        </w:rPr>
        <w:t>产品排放强度目标进行规划</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 w:val="0"/>
          <w:bCs/>
          <w:color w:val="auto"/>
          <w:sz w:val="32"/>
          <w:szCs w:val="32"/>
          <w:highlight w:val="none"/>
        </w:rPr>
        <w:t>短中期目标</w:t>
      </w:r>
      <w:r>
        <w:rPr>
          <w:rFonts w:hint="eastAsia" w:ascii="仿宋_GB2312" w:hAnsi="仿宋_GB2312" w:eastAsia="仿宋_GB2312" w:cs="仿宋_GB2312"/>
          <w:bCs/>
          <w:sz w:val="32"/>
          <w:szCs w:val="32"/>
          <w:lang w:eastAsia="zh-CN"/>
        </w:rPr>
        <w:t>如下表</w:t>
      </w:r>
      <w:r>
        <w:rPr>
          <w:rFonts w:hint="eastAsia" w:ascii="仿宋_GB2312" w:hAnsi="仿宋_GB2312" w:eastAsia="仿宋_GB2312" w:cs="仿宋_GB2312"/>
          <w:bCs/>
          <w:sz w:val="32"/>
          <w:szCs w:val="32"/>
        </w:rPr>
        <w:t>。</w:t>
      </w:r>
    </w:p>
    <w:tbl>
      <w:tblPr>
        <w:tblStyle w:val="5"/>
        <w:tblW w:w="950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45"/>
        <w:gridCol w:w="1019"/>
        <w:gridCol w:w="1652"/>
        <w:gridCol w:w="1440"/>
        <w:gridCol w:w="1384"/>
        <w:gridCol w:w="1384"/>
        <w:gridCol w:w="13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29" w:hRule="atLeast"/>
          <w:jc w:val="center"/>
        </w:trPr>
        <w:tc>
          <w:tcPr>
            <w:tcW w:w="1245" w:type="dxa"/>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认证边界</w:t>
            </w:r>
          </w:p>
        </w:tc>
        <w:tc>
          <w:tcPr>
            <w:tcW w:w="1019" w:type="dxa"/>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w:t>
            </w:r>
          </w:p>
        </w:tc>
        <w:tc>
          <w:tcPr>
            <w:tcW w:w="165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类别</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基准年</w:t>
            </w:r>
          </w:p>
        </w:tc>
        <w:tc>
          <w:tcPr>
            <w:tcW w:w="415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产品排放强度目标 (t CO2e/t 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245" w:type="dxa"/>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c>
          <w:tcPr>
            <w:tcW w:w="1019" w:type="dxa"/>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c>
          <w:tcPr>
            <w:tcW w:w="165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2023年实际</w:t>
            </w:r>
          </w:p>
        </w:tc>
        <w:tc>
          <w:tcPr>
            <w:tcW w:w="1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2024年</w:t>
            </w:r>
          </w:p>
        </w:tc>
        <w:tc>
          <w:tcPr>
            <w:tcW w:w="1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2025年</w:t>
            </w:r>
          </w:p>
        </w:tc>
        <w:tc>
          <w:tcPr>
            <w:tcW w:w="1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2030年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245" w:type="dxa"/>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铸造一部</w:t>
            </w:r>
          </w:p>
        </w:tc>
        <w:tc>
          <w:tcPr>
            <w:tcW w:w="1019" w:type="dxa"/>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圆铸锭</w:t>
            </w:r>
          </w:p>
        </w:tc>
        <w:tc>
          <w:tcPr>
            <w:tcW w:w="16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范围1+范围2</w:t>
            </w:r>
          </w:p>
        </w:tc>
        <w:tc>
          <w:tcPr>
            <w:tcW w:w="14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0.54</w:t>
            </w:r>
          </w:p>
        </w:tc>
        <w:tc>
          <w:tcPr>
            <w:tcW w:w="13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b w:val="0"/>
                <w:bCs w:val="0"/>
                <w:i w:val="0"/>
                <w:iCs w:val="0"/>
                <w:color w:val="000000"/>
                <w:kern w:val="0"/>
                <w:sz w:val="20"/>
                <w:szCs w:val="20"/>
                <w:u w:val="none"/>
                <w:lang w:val="en-US" w:eastAsia="zh-CN" w:bidi="ar"/>
              </w:rPr>
              <w:t>0.49</w:t>
            </w:r>
          </w:p>
        </w:tc>
        <w:tc>
          <w:tcPr>
            <w:tcW w:w="13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b w:val="0"/>
                <w:bCs w:val="0"/>
                <w:i w:val="0"/>
                <w:iCs w:val="0"/>
                <w:color w:val="000000"/>
                <w:kern w:val="0"/>
                <w:sz w:val="20"/>
                <w:szCs w:val="20"/>
                <w:u w:val="none"/>
                <w:lang w:val="en-US" w:eastAsia="zh-CN" w:bidi="ar"/>
              </w:rPr>
              <w:t>0.44</w:t>
            </w:r>
          </w:p>
        </w:tc>
        <w:tc>
          <w:tcPr>
            <w:tcW w:w="13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245" w:type="dxa"/>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19" w:type="dxa"/>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6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范围3</w:t>
            </w:r>
          </w:p>
        </w:tc>
        <w:tc>
          <w:tcPr>
            <w:tcW w:w="14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12.88</w:t>
            </w:r>
          </w:p>
        </w:tc>
        <w:tc>
          <w:tcPr>
            <w:tcW w:w="13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b w:val="0"/>
                <w:bCs w:val="0"/>
                <w:i w:val="0"/>
                <w:iCs w:val="0"/>
                <w:color w:val="000000"/>
                <w:kern w:val="0"/>
                <w:sz w:val="20"/>
                <w:szCs w:val="20"/>
                <w:u w:val="none"/>
                <w:lang w:val="en-US" w:eastAsia="zh-CN" w:bidi="ar"/>
              </w:rPr>
              <w:t>11.59</w:t>
            </w:r>
          </w:p>
        </w:tc>
        <w:tc>
          <w:tcPr>
            <w:tcW w:w="13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b w:val="0"/>
                <w:bCs w:val="0"/>
                <w:i w:val="0"/>
                <w:iCs w:val="0"/>
                <w:color w:val="000000"/>
                <w:kern w:val="0"/>
                <w:sz w:val="20"/>
                <w:szCs w:val="20"/>
                <w:u w:val="none"/>
                <w:lang w:val="en-US" w:eastAsia="zh-CN" w:bidi="ar"/>
              </w:rPr>
              <w:t>10.43</w:t>
            </w:r>
          </w:p>
        </w:tc>
        <w:tc>
          <w:tcPr>
            <w:tcW w:w="13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6.16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245" w:type="dxa"/>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19" w:type="dxa"/>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6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w:t>
            </w:r>
          </w:p>
        </w:tc>
        <w:tc>
          <w:tcPr>
            <w:tcW w:w="14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13.42</w:t>
            </w:r>
          </w:p>
        </w:tc>
        <w:tc>
          <w:tcPr>
            <w:tcW w:w="13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i w:val="0"/>
                <w:iCs w:val="0"/>
                <w:color w:val="000000"/>
                <w:kern w:val="0"/>
                <w:sz w:val="20"/>
                <w:szCs w:val="20"/>
                <w:u w:val="none"/>
                <w:lang w:val="en-US" w:eastAsia="zh-CN" w:bidi="ar"/>
              </w:rPr>
              <w:t>12.08</w:t>
            </w:r>
          </w:p>
        </w:tc>
        <w:tc>
          <w:tcPr>
            <w:tcW w:w="13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i w:val="0"/>
                <w:iCs w:val="0"/>
                <w:color w:val="000000"/>
                <w:kern w:val="0"/>
                <w:sz w:val="20"/>
                <w:szCs w:val="20"/>
                <w:u w:val="none"/>
                <w:lang w:val="en-US" w:eastAsia="zh-CN" w:bidi="ar"/>
              </w:rPr>
              <w:t>10.87</w:t>
            </w:r>
          </w:p>
        </w:tc>
        <w:tc>
          <w:tcPr>
            <w:tcW w:w="13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245" w:type="dxa"/>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挤压部门</w:t>
            </w:r>
          </w:p>
        </w:tc>
        <w:tc>
          <w:tcPr>
            <w:tcW w:w="1019" w:type="dxa"/>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型材</w:t>
            </w:r>
          </w:p>
        </w:tc>
        <w:tc>
          <w:tcPr>
            <w:tcW w:w="16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范围1+范围2</w:t>
            </w:r>
          </w:p>
        </w:tc>
        <w:tc>
          <w:tcPr>
            <w:tcW w:w="14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0.57</w:t>
            </w:r>
          </w:p>
        </w:tc>
        <w:tc>
          <w:tcPr>
            <w:tcW w:w="13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b w:val="0"/>
                <w:bCs w:val="0"/>
                <w:i w:val="0"/>
                <w:iCs w:val="0"/>
                <w:color w:val="000000"/>
                <w:kern w:val="0"/>
                <w:sz w:val="20"/>
                <w:szCs w:val="20"/>
                <w:u w:val="none"/>
                <w:lang w:val="en-US" w:eastAsia="zh-CN" w:bidi="ar"/>
              </w:rPr>
              <w:t>0.51</w:t>
            </w:r>
          </w:p>
        </w:tc>
        <w:tc>
          <w:tcPr>
            <w:tcW w:w="13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b w:val="0"/>
                <w:bCs w:val="0"/>
                <w:i w:val="0"/>
                <w:iCs w:val="0"/>
                <w:color w:val="000000"/>
                <w:kern w:val="0"/>
                <w:sz w:val="20"/>
                <w:szCs w:val="20"/>
                <w:u w:val="none"/>
                <w:lang w:val="en-US" w:eastAsia="zh-CN" w:bidi="ar"/>
              </w:rPr>
              <w:t>0.46</w:t>
            </w:r>
          </w:p>
        </w:tc>
        <w:tc>
          <w:tcPr>
            <w:tcW w:w="13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245" w:type="dxa"/>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19" w:type="dxa"/>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6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范围3</w:t>
            </w:r>
          </w:p>
        </w:tc>
        <w:tc>
          <w:tcPr>
            <w:tcW w:w="14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16.09</w:t>
            </w:r>
          </w:p>
        </w:tc>
        <w:tc>
          <w:tcPr>
            <w:tcW w:w="13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b w:val="0"/>
                <w:bCs w:val="0"/>
                <w:i w:val="0"/>
                <w:iCs w:val="0"/>
                <w:color w:val="000000"/>
                <w:kern w:val="0"/>
                <w:sz w:val="20"/>
                <w:szCs w:val="20"/>
                <w:u w:val="none"/>
                <w:lang w:val="en-US" w:eastAsia="zh-CN" w:bidi="ar"/>
              </w:rPr>
              <w:t>14.48</w:t>
            </w:r>
          </w:p>
        </w:tc>
        <w:tc>
          <w:tcPr>
            <w:tcW w:w="13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b w:val="0"/>
                <w:bCs w:val="0"/>
                <w:i w:val="0"/>
                <w:iCs w:val="0"/>
                <w:color w:val="000000"/>
                <w:kern w:val="0"/>
                <w:sz w:val="20"/>
                <w:szCs w:val="20"/>
                <w:u w:val="none"/>
                <w:lang w:val="en-US" w:eastAsia="zh-CN" w:bidi="ar"/>
              </w:rPr>
              <w:t>13.03</w:t>
            </w:r>
          </w:p>
        </w:tc>
        <w:tc>
          <w:tcPr>
            <w:tcW w:w="13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7.70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245" w:type="dxa"/>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19" w:type="dxa"/>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6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w:t>
            </w:r>
          </w:p>
        </w:tc>
        <w:tc>
          <w:tcPr>
            <w:tcW w:w="14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16.66</w:t>
            </w:r>
          </w:p>
        </w:tc>
        <w:tc>
          <w:tcPr>
            <w:tcW w:w="13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i w:val="0"/>
                <w:iCs w:val="0"/>
                <w:color w:val="000000"/>
                <w:kern w:val="0"/>
                <w:sz w:val="20"/>
                <w:szCs w:val="20"/>
                <w:u w:val="none"/>
                <w:lang w:val="en-US" w:eastAsia="zh-CN" w:bidi="ar"/>
              </w:rPr>
              <w:t>14.99</w:t>
            </w:r>
          </w:p>
        </w:tc>
        <w:tc>
          <w:tcPr>
            <w:tcW w:w="13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i w:val="0"/>
                <w:iCs w:val="0"/>
                <w:color w:val="000000"/>
                <w:kern w:val="0"/>
                <w:sz w:val="20"/>
                <w:szCs w:val="20"/>
                <w:u w:val="none"/>
                <w:lang w:val="en-US" w:eastAsia="zh-CN" w:bidi="ar"/>
              </w:rPr>
              <w:t>13.49</w:t>
            </w:r>
          </w:p>
        </w:tc>
        <w:tc>
          <w:tcPr>
            <w:tcW w:w="13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7.97</w:t>
            </w:r>
          </w:p>
        </w:tc>
      </w:tr>
    </w:tbl>
    <w:p>
      <w:pPr>
        <w:keepNext w:val="0"/>
        <w:keepLines w:val="0"/>
        <w:pageBreakBefore w:val="0"/>
        <w:widowControl w:val="0"/>
        <w:kinsoku/>
        <w:wordWrap w:val="0"/>
        <w:overflowPunct/>
        <w:topLinePunct w:val="0"/>
        <w:autoSpaceDE/>
        <w:autoSpaceDN/>
        <w:bidi w:val="0"/>
        <w:adjustRightInd/>
        <w:snapToGrid/>
        <w:spacing w:line="240" w:lineRule="auto"/>
        <w:ind w:right="0" w:firstLine="0" w:firstLineChars="0"/>
        <w:jc w:val="center"/>
        <w:textAlignment w:val="auto"/>
      </w:pPr>
      <w:r>
        <w:drawing>
          <wp:inline distT="0" distB="0" distL="114300" distR="114300">
            <wp:extent cx="5932805" cy="3946525"/>
            <wp:effectExtent l="4445" t="4445" r="6350" b="11430"/>
            <wp:docPr id="2" name="Chart 1"/>
            <wp:cNvGraphicFramePr>
              <a:graphicFrameLocks xmlns:a="http://schemas.openxmlformats.org/drawingml/2006/main" noGrp="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
        <w:jc w:val="center"/>
      </w:pPr>
      <w:r>
        <w:drawing>
          <wp:inline distT="0" distB="0" distL="114300" distR="114300">
            <wp:extent cx="5932805" cy="3946525"/>
            <wp:effectExtent l="4445" t="4445" r="6350" b="11430"/>
            <wp:docPr id="1" name="Chart 1"/>
            <wp:cNvGraphicFramePr>
              <a:graphicFrameLocks xmlns:a="http://schemas.openxmlformats.org/drawingml/2006/main" noGrp="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jc w:val="center"/>
      </w:pPr>
      <w:r>
        <w:drawing>
          <wp:inline distT="0" distB="0" distL="114300" distR="114300">
            <wp:extent cx="5932805" cy="3946525"/>
            <wp:effectExtent l="4445" t="4445" r="6350" b="11430"/>
            <wp:docPr id="3" name="Chart 1"/>
            <wp:cNvGraphicFramePr>
              <a:graphicFrameLocks xmlns:a="http://schemas.openxmlformats.org/drawingml/2006/main" noGrp="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r>
        <w:drawing>
          <wp:inline distT="0" distB="0" distL="114300" distR="114300">
            <wp:extent cx="5932805" cy="3946525"/>
            <wp:effectExtent l="4445" t="4445" r="6350" b="11430"/>
            <wp:docPr id="4" name="Chart 1"/>
            <wp:cNvGraphicFramePr>
              <a:graphicFrameLocks xmlns:a="http://schemas.openxmlformats.org/drawingml/2006/main" noGrp="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
      <w:pPr>
        <w:pStyle w:val="2"/>
      </w:pPr>
    </w:p>
    <w:p/>
    <w:p>
      <w:pPr>
        <w:pStyle w:val="2"/>
      </w:pPr>
    </w:p>
    <w:p>
      <w:pPr>
        <w:rPr>
          <w:rFonts w:hint="eastAsia"/>
          <w:lang w:eastAsia="zh-CN"/>
        </w:rPr>
      </w:pPr>
    </w:p>
    <w:p>
      <w:pPr>
        <w:keepNext w:val="0"/>
        <w:keepLines w:val="0"/>
        <w:pageBreakBefore w:val="0"/>
        <w:widowControl w:val="0"/>
        <w:kinsoku/>
        <w:wordWrap w:val="0"/>
        <w:overflowPunct/>
        <w:topLinePunct w:val="0"/>
        <w:autoSpaceDE/>
        <w:autoSpaceDN/>
        <w:bidi w:val="0"/>
        <w:adjustRightInd/>
        <w:snapToGrid/>
        <w:spacing w:line="560" w:lineRule="exact"/>
        <w:ind w:right="57" w:firstLine="640" w:firstLineChars="200"/>
        <w:textAlignment w:val="auto"/>
        <w:rPr>
          <w:rFonts w:hint="eastAsia" w:ascii="黑体" w:hAnsi="黑体" w:eastAsia="黑体" w:cs="黑体"/>
          <w:bCs w:val="0"/>
          <w:color w:val="auto"/>
          <w:sz w:val="32"/>
          <w:szCs w:val="32"/>
          <w:highlight w:val="none"/>
          <w:lang w:eastAsia="zh-CN"/>
        </w:rPr>
      </w:pPr>
      <w:r>
        <w:rPr>
          <w:rFonts w:hint="eastAsia" w:ascii="黑体" w:hAnsi="黑体" w:eastAsia="黑体" w:cs="黑体"/>
          <w:bCs w:val="0"/>
          <w:color w:val="auto"/>
          <w:sz w:val="32"/>
          <w:szCs w:val="32"/>
          <w:highlight w:val="none"/>
          <w:lang w:val="en-US" w:eastAsia="zh-CN"/>
        </w:rPr>
        <w:t>五</w:t>
      </w:r>
      <w:r>
        <w:rPr>
          <w:rFonts w:hint="eastAsia" w:ascii="黑体" w:hAnsi="黑体" w:eastAsia="黑体" w:cs="黑体"/>
          <w:bCs w:val="0"/>
          <w:color w:val="auto"/>
          <w:sz w:val="32"/>
          <w:szCs w:val="32"/>
          <w:highlight w:val="none"/>
          <w:lang w:eastAsia="zh-CN"/>
        </w:rPr>
        <w:t>、温室气体短中期减排路径</w:t>
      </w:r>
    </w:p>
    <w:p>
      <w:pPr>
        <w:keepNext w:val="0"/>
        <w:keepLines w:val="0"/>
        <w:pageBreakBefore w:val="0"/>
        <w:widowControl w:val="0"/>
        <w:numPr>
          <w:ilvl w:val="0"/>
          <w:numId w:val="0"/>
        </w:numPr>
        <w:kinsoku/>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电力脱碳</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持续推进清洁能源替代，优化能源结构。</w:t>
      </w:r>
      <w:r>
        <w:rPr>
          <w:rFonts w:hint="eastAsia" w:ascii="仿宋_GB2312" w:hAnsi="仿宋_GB2312" w:eastAsia="仿宋_GB2312" w:cs="仿宋_GB2312"/>
          <w:bCs/>
          <w:sz w:val="32"/>
          <w:szCs w:val="32"/>
          <w:lang w:eastAsia="zh-CN"/>
        </w:rPr>
        <w:t>提高</w:t>
      </w:r>
      <w:r>
        <w:rPr>
          <w:rFonts w:hint="eastAsia" w:ascii="仿宋_GB2312" w:hAnsi="仿宋_GB2312" w:eastAsia="仿宋_GB2312" w:cs="仿宋_GB2312"/>
          <w:bCs/>
          <w:sz w:val="32"/>
          <w:szCs w:val="32"/>
        </w:rPr>
        <w:t>清洁能源使用比例，利用太阳能、风能等可再生能源，置换火电。</w:t>
      </w:r>
    </w:p>
    <w:p>
      <w:pPr>
        <w:keepNext w:val="0"/>
        <w:keepLines w:val="0"/>
        <w:pageBreakBefore w:val="0"/>
        <w:widowControl w:val="0"/>
        <w:numPr>
          <w:ilvl w:val="0"/>
          <w:numId w:val="0"/>
        </w:numPr>
        <w:kinsoku/>
        <w:overflowPunct/>
        <w:topLinePunct w:val="0"/>
        <w:autoSpaceDE/>
        <w:autoSpaceDN/>
        <w:bidi w:val="0"/>
        <w:adjustRightInd/>
        <w:snapToGrid w:val="0"/>
        <w:spacing w:line="560" w:lineRule="exact"/>
        <w:ind w:firstLine="640" w:firstLineChars="200"/>
        <w:textAlignment w:val="auto"/>
        <w:rPr>
          <w:rStyle w:val="8"/>
          <w:rFonts w:hint="eastAsia" w:ascii="仿宋_GB2312" w:hAnsi="仿宋_GB2312" w:eastAsia="仿宋_GB2312" w:cs="仿宋_GB2312"/>
          <w:sz w:val="32"/>
          <w:szCs w:val="32"/>
        </w:rPr>
      </w:pPr>
      <w:r>
        <w:rPr>
          <w:rStyle w:val="8"/>
          <w:rFonts w:hint="eastAsia" w:ascii="仿宋_GB2312" w:hAnsi="仿宋_GB2312" w:eastAsia="仿宋_GB2312" w:cs="仿宋_GB2312"/>
          <w:sz w:val="32"/>
          <w:szCs w:val="32"/>
        </w:rPr>
        <w:commentReference w:id="0"/>
      </w:r>
      <w:r>
        <w:rPr>
          <w:rStyle w:val="8"/>
          <w:rFonts w:hint="eastAsia" w:ascii="仿宋_GB2312" w:hAnsi="仿宋_GB2312" w:eastAsia="仿宋_GB2312" w:cs="仿宋_GB2312"/>
          <w:sz w:val="32"/>
          <w:szCs w:val="32"/>
          <w:lang w:val="en-US" w:eastAsia="zh-CN"/>
        </w:rPr>
        <w:t>2.</w:t>
      </w:r>
      <w:r>
        <w:rPr>
          <w:rStyle w:val="8"/>
          <w:rFonts w:hint="eastAsia" w:ascii="仿宋_GB2312" w:hAnsi="仿宋_GB2312" w:eastAsia="仿宋_GB2312" w:cs="仿宋_GB2312"/>
          <w:sz w:val="32"/>
          <w:szCs w:val="32"/>
        </w:rPr>
        <w:t>减少直接排放</w:t>
      </w:r>
      <w:r>
        <w:rPr>
          <w:rStyle w:val="8"/>
          <w:rFonts w:hint="eastAsia" w:ascii="仿宋_GB2312" w:hAnsi="仿宋_GB2312" w:eastAsia="仿宋_GB2312" w:cs="仿宋_GB2312"/>
          <w:sz w:val="32"/>
          <w:szCs w:val="32"/>
          <w:lang w:eastAsia="zh-CN"/>
        </w:rPr>
        <w:t>。设备改造，工艺优化，节能</w:t>
      </w:r>
      <w:r>
        <w:rPr>
          <w:rStyle w:val="8"/>
          <w:rFonts w:hint="eastAsia" w:ascii="仿宋_GB2312" w:hAnsi="仿宋_GB2312" w:eastAsia="仿宋_GB2312" w:cs="仿宋_GB2312"/>
          <w:sz w:val="32"/>
          <w:szCs w:val="32"/>
        </w:rPr>
        <w:t>提效</w:t>
      </w:r>
      <w:r>
        <w:rPr>
          <w:rStyle w:val="8"/>
          <w:rFonts w:hint="eastAsia" w:ascii="仿宋_GB2312" w:hAnsi="仿宋_GB2312" w:eastAsia="仿宋_GB2312" w:cs="仿宋_GB2312"/>
          <w:sz w:val="32"/>
          <w:szCs w:val="32"/>
          <w:lang w:eastAsia="zh-CN"/>
        </w:rPr>
        <w:t>降碳。通过升级设备、改进工艺等方式，减少能源浪费，提高能源利用效率；分析</w:t>
      </w:r>
      <w:r>
        <w:rPr>
          <w:rStyle w:val="8"/>
          <w:rFonts w:hint="eastAsia" w:ascii="仿宋_GB2312" w:hAnsi="仿宋_GB2312" w:eastAsia="仿宋_GB2312" w:cs="仿宋_GB2312"/>
          <w:sz w:val="32"/>
          <w:szCs w:val="32"/>
        </w:rPr>
        <w:t>自身使用燃料，在满足同等功能的情况下，</w:t>
      </w:r>
      <w:r>
        <w:rPr>
          <w:rStyle w:val="8"/>
          <w:rFonts w:hint="eastAsia" w:ascii="仿宋_GB2312" w:hAnsi="仿宋_GB2312" w:eastAsia="仿宋_GB2312" w:cs="仿宋_GB2312"/>
          <w:sz w:val="32"/>
          <w:szCs w:val="32"/>
          <w:lang w:eastAsia="zh-CN"/>
        </w:rPr>
        <w:t>寻找</w:t>
      </w:r>
      <w:r>
        <w:rPr>
          <w:rStyle w:val="8"/>
          <w:rFonts w:hint="eastAsia" w:ascii="仿宋_GB2312" w:hAnsi="仿宋_GB2312" w:eastAsia="仿宋_GB2312" w:cs="仿宋_GB2312"/>
          <w:sz w:val="32"/>
          <w:szCs w:val="32"/>
        </w:rPr>
        <w:t>更低碳的燃料替代方案</w:t>
      </w:r>
      <w:r>
        <w:rPr>
          <w:rStyle w:val="8"/>
          <w:rFonts w:hint="eastAsia" w:ascii="仿宋_GB2312" w:hAnsi="仿宋_GB2312" w:eastAsia="仿宋_GB2312" w:cs="仿宋_GB2312"/>
          <w:sz w:val="32"/>
          <w:szCs w:val="32"/>
          <w:lang w:eastAsia="zh-CN"/>
        </w:rPr>
        <w:t>，减少对化石燃料的依赖</w:t>
      </w:r>
      <w:r>
        <w:rPr>
          <w:rStyle w:val="8"/>
          <w:rFonts w:hint="eastAsia" w:ascii="仿宋_GB2312" w:hAnsi="仿宋_GB2312" w:eastAsia="仿宋_GB2312" w:cs="仿宋_GB2312"/>
          <w:sz w:val="32"/>
          <w:szCs w:val="32"/>
        </w:rPr>
        <w:t>。</w:t>
      </w:r>
    </w:p>
    <w:p>
      <w:pPr>
        <w:keepNext w:val="0"/>
        <w:keepLines w:val="0"/>
        <w:pageBreakBefore w:val="0"/>
        <w:widowControl w:val="0"/>
        <w:numPr>
          <w:ilvl w:val="0"/>
          <w:numId w:val="0"/>
        </w:numPr>
        <w:kinsoku/>
        <w:overflowPunct/>
        <w:topLinePunct w:val="0"/>
        <w:autoSpaceDE/>
        <w:autoSpaceDN/>
        <w:bidi w:val="0"/>
        <w:adjustRightInd/>
        <w:snapToGrid w:val="0"/>
        <w:spacing w:line="560" w:lineRule="exact"/>
        <w:ind w:firstLine="640" w:firstLineChars="200"/>
        <w:textAlignment w:val="auto"/>
        <w:rPr>
          <w:rStyle w:val="8"/>
          <w:rFonts w:hint="eastAsia" w:ascii="仿宋_GB2312" w:hAnsi="仿宋_GB2312" w:eastAsia="仿宋_GB2312" w:cs="仿宋_GB2312"/>
          <w:sz w:val="32"/>
          <w:szCs w:val="32"/>
        </w:rPr>
      </w:pPr>
      <w:r>
        <w:rPr>
          <w:rStyle w:val="8"/>
          <w:rFonts w:hint="eastAsia" w:ascii="仿宋_GB2312" w:hAnsi="仿宋_GB2312" w:eastAsia="仿宋_GB2312" w:cs="仿宋_GB2312"/>
          <w:sz w:val="32"/>
          <w:szCs w:val="32"/>
          <w:lang w:val="en-US" w:eastAsia="zh-CN"/>
        </w:rPr>
        <w:t>3.</w:t>
      </w:r>
      <w:r>
        <w:rPr>
          <w:rStyle w:val="8"/>
          <w:rFonts w:hint="eastAsia" w:ascii="仿宋_GB2312" w:hAnsi="仿宋_GB2312" w:eastAsia="仿宋_GB2312" w:cs="仿宋_GB2312"/>
          <w:sz w:val="32"/>
          <w:szCs w:val="32"/>
        </w:rPr>
        <w:t>供应链减排</w:t>
      </w:r>
      <w:r>
        <w:rPr>
          <w:rStyle w:val="8"/>
          <w:rFonts w:hint="eastAsia" w:ascii="仿宋_GB2312" w:hAnsi="仿宋_GB2312" w:eastAsia="仿宋_GB2312" w:cs="仿宋_GB2312"/>
          <w:sz w:val="32"/>
          <w:szCs w:val="32"/>
          <w:lang w:eastAsia="zh-CN"/>
        </w:rPr>
        <w:t>。</w:t>
      </w:r>
      <w:r>
        <w:rPr>
          <w:rStyle w:val="8"/>
          <w:rFonts w:hint="eastAsia" w:ascii="仿宋_GB2312" w:hAnsi="仿宋_GB2312" w:eastAsia="仿宋_GB2312" w:cs="仿宋_GB2312"/>
          <w:sz w:val="32"/>
          <w:szCs w:val="32"/>
        </w:rPr>
        <w:t>供应链</w:t>
      </w:r>
      <w:r>
        <w:rPr>
          <w:rStyle w:val="8"/>
          <w:rFonts w:hint="eastAsia" w:ascii="仿宋_GB2312" w:hAnsi="仿宋_GB2312" w:eastAsia="仿宋_GB2312" w:cs="仿宋_GB2312"/>
          <w:sz w:val="32"/>
          <w:szCs w:val="32"/>
          <w:lang w:eastAsia="zh-CN"/>
        </w:rPr>
        <w:t>绿色</w:t>
      </w:r>
      <w:r>
        <w:rPr>
          <w:rStyle w:val="8"/>
          <w:rFonts w:hint="eastAsia" w:ascii="仿宋_GB2312" w:hAnsi="仿宋_GB2312" w:eastAsia="仿宋_GB2312" w:cs="仿宋_GB2312"/>
          <w:sz w:val="32"/>
          <w:szCs w:val="32"/>
        </w:rPr>
        <w:t>管理</w:t>
      </w:r>
      <w:r>
        <w:rPr>
          <w:rStyle w:val="8"/>
          <w:rFonts w:hint="eastAsia" w:ascii="仿宋_GB2312" w:hAnsi="仿宋_GB2312" w:eastAsia="仿宋_GB2312" w:cs="仿宋_GB2312"/>
          <w:sz w:val="32"/>
          <w:szCs w:val="32"/>
          <w:lang w:eastAsia="zh-CN"/>
        </w:rPr>
        <w:t>。</w:t>
      </w:r>
      <w:r>
        <w:rPr>
          <w:rStyle w:val="8"/>
          <w:rFonts w:hint="eastAsia" w:ascii="仿宋_GB2312" w:hAnsi="仿宋_GB2312" w:eastAsia="仿宋_GB2312" w:cs="仿宋_GB2312"/>
          <w:sz w:val="32"/>
          <w:szCs w:val="32"/>
        </w:rPr>
        <w:t>加强对供应商的绿色管理，要求供应商提供</w:t>
      </w:r>
      <w:r>
        <w:rPr>
          <w:rStyle w:val="8"/>
          <w:rFonts w:hint="eastAsia" w:ascii="仿宋_GB2312" w:hAnsi="仿宋_GB2312" w:eastAsia="仿宋_GB2312" w:cs="仿宋_GB2312"/>
          <w:sz w:val="32"/>
          <w:szCs w:val="32"/>
          <w:lang w:eastAsia="zh-CN"/>
        </w:rPr>
        <w:t>绿色低碳</w:t>
      </w:r>
      <w:r>
        <w:rPr>
          <w:rStyle w:val="8"/>
          <w:rFonts w:hint="eastAsia" w:ascii="仿宋_GB2312" w:hAnsi="仿宋_GB2312" w:eastAsia="仿宋_GB2312" w:cs="仿宋_GB2312"/>
          <w:sz w:val="32"/>
          <w:szCs w:val="32"/>
        </w:rPr>
        <w:t>材料，推动供应链的绿色化。优化物流配送方案，鼓励供应商和物流合作伙伴使用新能源汽车、电动船舶等新能源运输工具</w:t>
      </w:r>
      <w:r>
        <w:rPr>
          <w:rStyle w:val="8"/>
          <w:rFonts w:hint="eastAsia" w:ascii="仿宋_GB2312" w:hAnsi="仿宋_GB2312" w:eastAsia="仿宋_GB2312" w:cs="仿宋_GB2312"/>
          <w:sz w:val="32"/>
          <w:szCs w:val="32"/>
          <w:lang w:eastAsia="zh-CN"/>
        </w:rPr>
        <w:t>，</w:t>
      </w:r>
      <w:r>
        <w:rPr>
          <w:rStyle w:val="8"/>
          <w:rFonts w:hint="eastAsia" w:ascii="仿宋_GB2312" w:hAnsi="仿宋_GB2312" w:eastAsia="仿宋_GB2312" w:cs="仿宋_GB2312"/>
          <w:sz w:val="32"/>
          <w:szCs w:val="32"/>
        </w:rPr>
        <w:t>减少运输过程中的能源消耗和排放。</w:t>
      </w:r>
    </w:p>
    <w:p>
      <w:pPr>
        <w:keepNext w:val="0"/>
        <w:keepLines w:val="0"/>
        <w:pageBreakBefore w:val="0"/>
        <w:widowControl w:val="0"/>
        <w:numPr>
          <w:ilvl w:val="0"/>
          <w:numId w:val="0"/>
        </w:numPr>
        <w:kinsoku/>
        <w:overflowPunct/>
        <w:topLinePunct w:val="0"/>
        <w:autoSpaceDE/>
        <w:autoSpaceDN/>
        <w:bidi w:val="0"/>
        <w:adjustRightInd/>
        <w:snapToGrid w:val="0"/>
        <w:spacing w:line="560" w:lineRule="exact"/>
        <w:ind w:firstLine="640" w:firstLineChars="200"/>
        <w:textAlignment w:val="auto"/>
        <w:rPr>
          <w:rStyle w:val="8"/>
          <w:rFonts w:hint="eastAsia" w:ascii="仿宋_GB2312" w:hAnsi="仿宋_GB2312" w:eastAsia="仿宋_GB2312" w:cs="仿宋_GB2312"/>
          <w:sz w:val="32"/>
          <w:szCs w:val="32"/>
        </w:rPr>
      </w:pPr>
      <w:r>
        <w:rPr>
          <w:rStyle w:val="8"/>
          <w:rFonts w:hint="eastAsia" w:ascii="仿宋_GB2312" w:hAnsi="仿宋_GB2312" w:eastAsia="仿宋_GB2312" w:cs="仿宋_GB2312"/>
          <w:sz w:val="32"/>
          <w:szCs w:val="32"/>
          <w:lang w:val="en-US" w:eastAsia="zh-CN"/>
        </w:rPr>
        <w:t>4.循环经济。提高</w:t>
      </w:r>
      <w:r>
        <w:rPr>
          <w:rStyle w:val="8"/>
          <w:rFonts w:hint="eastAsia" w:ascii="仿宋_GB2312" w:hAnsi="仿宋_GB2312" w:eastAsia="仿宋_GB2312" w:cs="仿宋_GB2312"/>
          <w:sz w:val="32"/>
          <w:szCs w:val="32"/>
          <w:lang w:eastAsia="zh-CN"/>
        </w:rPr>
        <w:t>再生铝</w:t>
      </w:r>
      <w:r>
        <w:rPr>
          <w:rStyle w:val="8"/>
          <w:rFonts w:hint="eastAsia" w:ascii="仿宋_GB2312" w:hAnsi="仿宋_GB2312" w:eastAsia="仿宋_GB2312" w:cs="仿宋_GB2312"/>
          <w:sz w:val="32"/>
          <w:szCs w:val="32"/>
        </w:rPr>
        <w:t>回收利用</w:t>
      </w:r>
      <w:r>
        <w:rPr>
          <w:rStyle w:val="8"/>
          <w:rFonts w:hint="eastAsia" w:ascii="仿宋_GB2312" w:hAnsi="仿宋_GB2312" w:eastAsia="仿宋_GB2312" w:cs="仿宋_GB2312"/>
          <w:sz w:val="32"/>
          <w:szCs w:val="32"/>
          <w:lang w:eastAsia="zh-CN"/>
        </w:rPr>
        <w:t>比例</w:t>
      </w:r>
      <w:r>
        <w:rPr>
          <w:rStyle w:val="8"/>
          <w:rFonts w:hint="eastAsia" w:ascii="仿宋_GB2312" w:hAnsi="仿宋_GB2312" w:eastAsia="仿宋_GB2312" w:cs="仿宋_GB2312"/>
          <w:sz w:val="32"/>
          <w:szCs w:val="32"/>
        </w:rPr>
        <w:t>，减少一级原料电解铝水或重熔锭的使用，减少</w:t>
      </w:r>
      <w:r>
        <w:rPr>
          <w:rStyle w:val="8"/>
          <w:rFonts w:hint="eastAsia" w:ascii="仿宋_GB2312" w:hAnsi="仿宋_GB2312" w:eastAsia="仿宋_GB2312" w:cs="仿宋_GB2312"/>
          <w:sz w:val="32"/>
          <w:szCs w:val="32"/>
          <w:lang w:eastAsia="zh-CN"/>
        </w:rPr>
        <w:t>原材料端</w:t>
      </w:r>
      <w:r>
        <w:rPr>
          <w:rStyle w:val="8"/>
          <w:rFonts w:hint="eastAsia" w:ascii="仿宋_GB2312" w:hAnsi="仿宋_GB2312" w:eastAsia="仿宋_GB2312" w:cs="仿宋_GB2312"/>
          <w:sz w:val="32"/>
          <w:szCs w:val="32"/>
        </w:rPr>
        <w:t>的碳排放。</w:t>
      </w:r>
    </w:p>
    <w:p>
      <w:pPr>
        <w:keepNext w:val="0"/>
        <w:keepLines w:val="0"/>
        <w:pageBreakBefore w:val="0"/>
        <w:widowControl w:val="0"/>
        <w:kinsoku/>
        <w:wordWrap w:val="0"/>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val="en-US" w:eastAsia="zh-CN"/>
        </w:rPr>
        <w:t>六</w:t>
      </w:r>
      <w:r>
        <w:rPr>
          <w:rFonts w:hint="eastAsia" w:ascii="黑体" w:hAnsi="黑体" w:eastAsia="黑体" w:cs="黑体"/>
          <w:b w:val="0"/>
          <w:bCs w:val="0"/>
          <w:color w:val="auto"/>
          <w:sz w:val="32"/>
          <w:szCs w:val="32"/>
          <w:highlight w:val="none"/>
        </w:rPr>
        <w:t>、2025年节能降碳工作</w:t>
      </w:r>
      <w:r>
        <w:rPr>
          <w:rFonts w:hint="eastAsia" w:ascii="黑体" w:hAnsi="黑体" w:eastAsia="黑体" w:cs="黑体"/>
          <w:b w:val="0"/>
          <w:bCs w:val="0"/>
          <w:color w:val="auto"/>
          <w:sz w:val="32"/>
          <w:szCs w:val="32"/>
          <w:highlight w:val="none"/>
          <w:lang w:val="en-US" w:eastAsia="zh-CN"/>
        </w:rPr>
        <w:t>行动</w:t>
      </w:r>
    </w:p>
    <w:p>
      <w:pPr>
        <w:keepNext w:val="0"/>
        <w:keepLines w:val="0"/>
        <w:pageBreakBefore w:val="0"/>
        <w:widowControl w:val="0"/>
        <w:kinsoku/>
        <w:wordWrap w:val="0"/>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（一）节能降耗成效显著</w:t>
      </w:r>
    </w:p>
    <w:p>
      <w:pPr>
        <w:wordWrap w:val="0"/>
        <w:snapToGrid/>
        <w:spacing w:before="0" w:beforeLines="0" w:after="0" w:afterLines="0" w:line="560" w:lineRule="exact"/>
        <w:ind w:right="0"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重点项目能效领先。2024年立项的“年产8万吨绿色低碳高端铝合金材料生产线”已于2025年全面建成投产，包括2条熔铸生产线和1条合金锭生产线。经实测，熔铸线产品单耗为113.91千克标准煤/吨，较国家一级能耗指标（127.32千克标准煤/吨）节能10.53%，能效表现突出。</w:t>
      </w:r>
    </w:p>
    <w:p>
      <w:pPr>
        <w:wordWrap w:val="0"/>
        <w:snapToGrid/>
        <w:spacing w:before="0" w:beforeLines="0" w:after="0" w:afterLines="0" w:line="560" w:lineRule="exact"/>
        <w:ind w:right="0"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通用设备更新成效明显。积极推进永磁电机等高效设备替代，重点针对高负载率、高开机率及高耗能电机进行更换。年度完成31台高耗能电机改造，年度折算可节电约77.32万千瓦时，相当于节约标煤95.03吨，减排二氧化碳543.93吨。</w:t>
      </w:r>
    </w:p>
    <w:p>
      <w:pPr>
        <w:wordWrap w:val="0"/>
        <w:snapToGrid/>
        <w:spacing w:before="0" w:beforeLines="0" w:after="0" w:afterLines="0" w:line="560" w:lineRule="exact"/>
        <w:ind w:right="0"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（二）绿色电力应用</w:t>
      </w:r>
    </w:p>
    <w:p>
      <w:pPr>
        <w:wordWrap w:val="0"/>
        <w:snapToGrid/>
        <w:spacing w:before="0" w:beforeLines="0" w:after="0" w:afterLines="0" w:line="560" w:lineRule="exact"/>
        <w:ind w:right="0"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1.完成行业绿电消纳比例目标。截至2025年11月，通过绿电与绿证相结合的方式，累计采购绿色电力24415万千瓦时，为产品注入绿色属性。</w:t>
      </w:r>
    </w:p>
    <w:p>
      <w:pPr>
        <w:wordWrap w:val="0"/>
        <w:snapToGrid/>
        <w:spacing w:before="0" w:beforeLines="0" w:after="0" w:afterLines="0" w:line="560" w:lineRule="exact"/>
        <w:ind w:right="0"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2.分布式光伏全面推进。各子公司积极开展厂房屋顶分布式光伏建设。</w:t>
      </w:r>
    </w:p>
    <w:p>
      <w:pPr>
        <w:wordWrap w:val="0"/>
        <w:snapToGrid/>
        <w:spacing w:before="0" w:beforeLines="0" w:after="0" w:afterLines="0" w:line="560" w:lineRule="exact"/>
        <w:ind w:right="0"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3.绿色能源平台构建。南铝公司与广州白云电气集团合资成立南铝白云公司，重点布局绿电直连、分散式风电、光伏发电、余热回收及节能改造等业务，推动公司绿色低碳转型与产业升级。</w:t>
      </w:r>
    </w:p>
    <w:p>
      <w:pPr>
        <w:wordWrap w:val="0"/>
        <w:snapToGrid/>
        <w:spacing w:before="0" w:beforeLines="0" w:after="0" w:afterLines="0" w:line="560" w:lineRule="exact"/>
        <w:ind w:right="0"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（三）绿色低碳循环经济</w:t>
      </w:r>
    </w:p>
    <w:p>
      <w:pPr>
        <w:wordWrap w:val="0"/>
        <w:snapToGrid/>
        <w:spacing w:before="0" w:beforeLines="0" w:after="0" w:afterLines="0" w:line="560" w:lineRule="exact"/>
        <w:ind w:right="0"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南铝公司“年产8万吨绿色低碳高端铝合金材料生产线”项目建设落地，实施废料分级管理、熔体净化技术，突破废铝高比例添加技术，废旧铝原料利用率可达46.51%，相当于年节约标煤12.65万吨，减排二氧化碳87.28万吨，再生铝利用效益显著。</w:t>
      </w:r>
    </w:p>
    <w:p>
      <w:pPr>
        <w:wordWrap w:val="0"/>
        <w:snapToGrid/>
        <w:spacing w:before="0" w:beforeLines="0" w:after="0" w:afterLines="0" w:line="560" w:lineRule="exact"/>
        <w:ind w:right="0"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2.五款熔铸产品取得回收成分认证（简称RC认证），促进回收材料的使用和可持续发展，保护环境和自然资源，产品获苹果、惠普等国际品牌供应链准入资格。</w:t>
      </w:r>
    </w:p>
    <w:p>
      <w:pPr>
        <w:wordWrap w:val="0"/>
        <w:snapToGrid/>
        <w:spacing w:before="0" w:beforeLines="0" w:after="0" w:afterLines="0" w:line="560" w:lineRule="exact"/>
        <w:ind w:right="0"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3.依据ISO 14040标</w:t>
      </w:r>
      <w:bookmarkStart w:id="0" w:name="_GoBack"/>
      <w:bookmarkEnd w:id="0"/>
      <w:r>
        <w:rPr>
          <w:rFonts w:hint="eastAsia" w:ascii="仿宋_GB2312" w:hAnsi="仿宋_GB2312" w:eastAsia="仿宋_GB2312" w:cs="仿宋_GB2312"/>
          <w:b w:val="0"/>
          <w:bCs w:val="0"/>
          <w:color w:val="auto"/>
          <w:sz w:val="32"/>
          <w:szCs w:val="32"/>
          <w:highlight w:val="none"/>
        </w:rPr>
        <w:t>准开展铝合金圆铸锭生命周期评价（LCA），经国际权威认证机构SGS独立核查与科学评估，我司生产铝合金圆铸锭产品碳足迹低于5kgCO2e，充分体现了我司在绿色制造与低碳管理方面的领先实力。</w:t>
      </w:r>
    </w:p>
    <w:p>
      <w:pPr>
        <w:keepNext w:val="0"/>
        <w:keepLines w:val="0"/>
        <w:pageBreakBefore w:val="0"/>
        <w:widowControl w:val="0"/>
        <w:kinsoku/>
        <w:wordWrap w:val="0"/>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val="en-US" w:eastAsia="zh-CN"/>
        </w:rPr>
        <w:t>七</w:t>
      </w:r>
      <w:r>
        <w:rPr>
          <w:rFonts w:hint="eastAsia" w:ascii="黑体" w:hAnsi="黑体" w:eastAsia="黑体" w:cs="黑体"/>
          <w:b w:val="0"/>
          <w:bCs w:val="0"/>
          <w:color w:val="auto"/>
          <w:sz w:val="32"/>
          <w:szCs w:val="32"/>
          <w:highlight w:val="none"/>
        </w:rPr>
        <w:t>、2026年节能降碳重点工作</w:t>
      </w:r>
      <w:r>
        <w:rPr>
          <w:rFonts w:hint="eastAsia" w:ascii="黑体" w:hAnsi="黑体" w:eastAsia="黑体" w:cs="黑体"/>
          <w:b w:val="0"/>
          <w:bCs w:val="0"/>
          <w:color w:val="auto"/>
          <w:sz w:val="32"/>
          <w:szCs w:val="32"/>
          <w:highlight w:val="none"/>
          <w:lang w:val="en-US" w:eastAsia="zh-CN"/>
        </w:rPr>
        <w:t>计划</w:t>
      </w:r>
    </w:p>
    <w:p>
      <w:pPr>
        <w:keepNext w:val="0"/>
        <w:keepLines w:val="0"/>
        <w:pageBreakBefore w:val="0"/>
        <w:widowControl w:val="0"/>
        <w:kinsoku/>
        <w:wordWrap w:val="0"/>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（一）能效提升攻坚行动</w:t>
      </w:r>
    </w:p>
    <w:p>
      <w:pPr>
        <w:keepNext w:val="0"/>
        <w:keepLines w:val="0"/>
        <w:pageBreakBefore w:val="0"/>
        <w:widowControl w:val="0"/>
        <w:kinsoku/>
        <w:wordWrap w:val="0"/>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通用设备能效升级。2026年计划投资对13台低效能变压器进行一级能效改造，同时推广永磁电机及智能控制系统，更换30台高耗能电机，在河边水泵房、熔铸一线水泵房等区域复制智能化节能改造经验。</w:t>
      </w:r>
    </w:p>
    <w:p>
      <w:pPr>
        <w:keepNext w:val="0"/>
        <w:keepLines w:val="0"/>
        <w:pageBreakBefore w:val="0"/>
        <w:widowControl w:val="0"/>
        <w:kinsoku/>
        <w:wordWrap w:val="0"/>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（二）绿色低碳能源体系建设</w:t>
      </w:r>
    </w:p>
    <w:p>
      <w:pPr>
        <w:keepNext w:val="0"/>
        <w:keepLines w:val="0"/>
        <w:pageBreakBefore w:val="0"/>
        <w:widowControl w:val="0"/>
        <w:kinsoku/>
        <w:wordWrap w:val="0"/>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1.全力突破风电项目。成立专项工作组，分四个阶段全力推进南平铝业风电绿电直连项目力争获得发改委等相关部门批准后尽快开工建设。</w:t>
      </w:r>
    </w:p>
    <w:p>
      <w:pPr>
        <w:keepNext w:val="0"/>
        <w:keepLines w:val="0"/>
        <w:pageBreakBefore w:val="0"/>
        <w:widowControl w:val="0"/>
        <w:kinsoku/>
        <w:wordWrap w:val="0"/>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.绿电市场化应用。积极参与绿电交易，并研究推广绿色电力证书应用。</w:t>
      </w:r>
    </w:p>
    <w:p>
      <w:pPr>
        <w:keepNext w:val="0"/>
        <w:keepLines w:val="0"/>
        <w:pageBreakBefore w:val="0"/>
        <w:widowControl w:val="0"/>
        <w:numPr>
          <w:ilvl w:val="0"/>
          <w:numId w:val="0"/>
        </w:numPr>
        <w:kinsoku/>
        <w:overflowPunct/>
        <w:topLinePunct w:val="0"/>
        <w:autoSpaceDE/>
        <w:autoSpaceDN/>
        <w:bidi w:val="0"/>
        <w:adjustRightInd/>
        <w:snapToGrid w:val="0"/>
        <w:spacing w:line="560" w:lineRule="exact"/>
        <w:ind w:firstLine="640" w:firstLineChars="200"/>
        <w:textAlignment w:val="auto"/>
        <w:rPr>
          <w:rStyle w:val="8"/>
          <w:rFonts w:hint="eastAsia" w:ascii="黑体" w:hAnsi="黑体" w:eastAsia="黑体" w:cs="黑体"/>
          <w:color w:val="auto"/>
          <w:sz w:val="32"/>
          <w:szCs w:val="32"/>
          <w:highlight w:val="none"/>
          <w:lang w:val="en-US"/>
        </w:rPr>
      </w:pPr>
      <w:r>
        <w:rPr>
          <w:rFonts w:hint="eastAsia" w:ascii="仿宋_GB2312" w:hAnsi="仿宋_GB2312" w:eastAsia="仿宋_GB2312" w:cs="仿宋_GB2312"/>
          <w:b w:val="0"/>
          <w:bCs w:val="0"/>
          <w:color w:val="auto"/>
          <w:sz w:val="32"/>
          <w:szCs w:val="32"/>
          <w:highlight w:val="none"/>
        </w:rPr>
        <w:t>4.打造绿色低碳产品。选取主打产品开展全生命周期碳足迹核算与认证，在产品设计阶段引入生态设计理念，开发低合金化、易回收的绿色铝材产品，并推广“绿色标签”铝材产品。</w:t>
      </w:r>
    </w:p>
    <w:p>
      <w:pPr>
        <w:keepNext w:val="0"/>
        <w:keepLines w:val="0"/>
        <w:pageBreakBefore w:val="0"/>
        <w:widowControl w:val="0"/>
        <w:kinsoku/>
        <w:overflowPunct/>
        <w:topLinePunct w:val="0"/>
        <w:autoSpaceDE/>
        <w:autoSpaceDN/>
        <w:bidi w:val="0"/>
        <w:adjustRightInd/>
        <w:snapToGrid w:val="0"/>
        <w:spacing w:line="560" w:lineRule="exact"/>
        <w:ind w:firstLine="3840" w:firstLineChars="1200"/>
        <w:textAlignment w:val="auto"/>
        <w:rPr>
          <w:rFonts w:hint="eastAsia" w:ascii="仿宋_GB2312" w:hAnsi="仿宋_GB2312" w:eastAsia="仿宋_GB2312" w:cs="仿宋_GB2312"/>
          <w:b w:val="0"/>
          <w:bCs/>
          <w:sz w:val="32"/>
          <w:szCs w:val="32"/>
          <w:lang w:eastAsia="zh-CN"/>
        </w:rPr>
      </w:pPr>
    </w:p>
    <w:p>
      <w:pPr>
        <w:keepNext w:val="0"/>
        <w:keepLines w:val="0"/>
        <w:pageBreakBefore w:val="0"/>
        <w:widowControl w:val="0"/>
        <w:kinsoku/>
        <w:overflowPunct/>
        <w:topLinePunct w:val="0"/>
        <w:autoSpaceDE/>
        <w:autoSpaceDN/>
        <w:bidi w:val="0"/>
        <w:adjustRightInd/>
        <w:snapToGrid w:val="0"/>
        <w:spacing w:line="560" w:lineRule="exact"/>
        <w:ind w:firstLine="3840" w:firstLineChars="1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福建省南平铝业股份有限公司</w:t>
      </w:r>
    </w:p>
    <w:p>
      <w:pPr>
        <w:keepNext w:val="0"/>
        <w:keepLines w:val="0"/>
        <w:pageBreakBefore w:val="0"/>
        <w:widowControl w:val="0"/>
        <w:kinsoku/>
        <w:overflowPunct/>
        <w:topLinePunct w:val="0"/>
        <w:autoSpaceDE/>
        <w:autoSpaceDN/>
        <w:bidi w:val="0"/>
        <w:adjustRightInd/>
        <w:snapToGrid w:val="0"/>
        <w:spacing w:line="560" w:lineRule="exact"/>
        <w:ind w:firstLine="4800" w:firstLineChars="1500"/>
        <w:textAlignment w:val="auto"/>
      </w:pPr>
      <w:r>
        <w:rPr>
          <w:rFonts w:hint="eastAsia" w:ascii="仿宋_GB2312" w:hAnsi="仿宋_GB2312" w:eastAsia="仿宋_GB2312" w:cs="仿宋_GB2312"/>
          <w:b w:val="0"/>
          <w:bCs/>
          <w:sz w:val="32"/>
          <w:szCs w:val="32"/>
          <w:lang w:val="en-US" w:eastAsia="zh-CN"/>
        </w:rPr>
        <w:t>2026年6月12日</w:t>
      </w:r>
    </w:p>
    <w:sectPr>
      <w:footerReference r:id="rId5" w:type="default"/>
      <w:pgSz w:w="11906" w:h="16838"/>
      <w:pgMar w:top="1418" w:right="1134" w:bottom="1134" w:left="1418"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Li, Guangyu Wayne" w:date="2023-04-25T11:42:00Z" w:initials="LGW">
    <w:p w14:paraId="19B852AB">
      <w:pPr>
        <w:pStyle w:val="3"/>
        <w:rPr>
          <w:rFonts w:hint="eastAsia"/>
        </w:rPr>
      </w:pPr>
      <w:r>
        <w:rPr>
          <w:rFonts w:hint="eastAsia"/>
        </w:rPr>
        <w:t>请南平铝业考虑，是否设置公司级碳达峰碳中和规划，还是只设置针对三个认证范围的减排目标</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9B852A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t>2</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A9C2F0"/>
    <w:multiLevelType w:val="singleLevel"/>
    <w:tmpl w:val="D1A9C2F0"/>
    <w:lvl w:ilvl="0" w:tentative="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 Guangyu Wayne">
    <w15:presenceInfo w15:providerId="None" w15:userId="Li, Guangyu Way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8222BD"/>
    <w:rsid w:val="07CB6584"/>
    <w:rsid w:val="0BFA10A7"/>
    <w:rsid w:val="17381ACA"/>
    <w:rsid w:val="22F058A7"/>
    <w:rsid w:val="23FB7428"/>
    <w:rsid w:val="29665E24"/>
    <w:rsid w:val="306828F2"/>
    <w:rsid w:val="32680202"/>
    <w:rsid w:val="36556912"/>
    <w:rsid w:val="3F7A4DA6"/>
    <w:rsid w:val="3FA81DA1"/>
    <w:rsid w:val="528E5E17"/>
    <w:rsid w:val="530D70E6"/>
    <w:rsid w:val="55D12BCC"/>
    <w:rsid w:val="62AA6C59"/>
    <w:rsid w:val="63B95D11"/>
    <w:rsid w:val="6A5102E0"/>
    <w:rsid w:val="728222BD"/>
    <w:rsid w:val="753F0992"/>
    <w:rsid w:val="797E6E93"/>
    <w:rsid w:val="7F164111"/>
    <w:rsid w:val="7F39548B"/>
    <w:rsid w:val="7F587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99"/>
  </w:style>
  <w:style w:type="paragraph" w:styleId="3">
    <w:name w:val="annotation text"/>
    <w:basedOn w:val="1"/>
    <w:qFormat/>
    <w:uiPriority w:val="0"/>
    <w:rPr>
      <w:sz w:val="20"/>
      <w:szCs w:val="20"/>
    </w:rPr>
  </w:style>
  <w:style w:type="paragraph" w:styleId="4">
    <w:name w:val="footer"/>
    <w:basedOn w:val="1"/>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annotation reference"/>
    <w:qFormat/>
    <w:uiPriority w:val="0"/>
    <w:rPr>
      <w:sz w:val="16"/>
      <w:szCs w:val="16"/>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User\Downloads\67db6731664c2.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User\Downloads\67db6731664c2.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User\Downloads\67db6731664c2.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User\Downloads\67db6731664c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40" b="0" i="0" u="none" strike="noStrike" kern="1200" spc="0" baseline="0">
                <a:solidFill>
                  <a:schemeClr val="tx1">
                    <a:lumMod val="65000"/>
                    <a:lumOff val="35000"/>
                  </a:schemeClr>
                </a:solidFill>
                <a:latin typeface="+mn-lt"/>
                <a:ea typeface="+mn-ea"/>
                <a:cs typeface="+mn-cs"/>
              </a:defRPr>
            </a:pPr>
            <a:r>
              <a:rPr lang="en-GB"/>
              <a:t>Casthouse Scopes 1+2 Slope</a:t>
            </a:r>
            <a:endParaRPr lang="en-GB"/>
          </a:p>
        </c:rich>
      </c:tx>
      <c:layout/>
      <c:overlay val="0"/>
      <c:spPr>
        <a:noFill/>
        <a:ln>
          <a:noFill/>
        </a:ln>
        <a:effectLst/>
      </c:spPr>
    </c:title>
    <c:autoTitleDeleted val="0"/>
    <c:plotArea>
      <c:layout>
        <c:manualLayout>
          <c:layoutTarget val="inner"/>
          <c:xMode val="edge"/>
          <c:yMode val="edge"/>
          <c:x val="0.0842911111111111"/>
          <c:y val="0.0807274074074074"/>
          <c:w val="0.907753555555556"/>
          <c:h val="0.740200185185185"/>
        </c:manualLayout>
      </c:layout>
      <c:lineChart>
        <c:grouping val="standard"/>
        <c:varyColors val="0"/>
        <c:ser>
          <c:idx val="2"/>
          <c:order val="0"/>
          <c:tx>
            <c:strRef>
              <c:f>"Entity Casthouse Process Slope"</c:f>
              <c:strCache>
                <c:ptCount val="1"/>
                <c:pt idx="0">
                  <c:v>Entity Casthouse Process Slope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elete val="1"/>
          </c:dLbls>
          <c:cat>
            <c:numRef>
              <c:f>'[67db6731664c2.xlsx]Casthouse &amp; Post-CH Data Entry'!$D$13:$AL$13</c:f>
              <c:numCache>
                <c:formatCode>0</c:formatCode>
                <c:ptCount val="35"/>
                <c:pt idx="0" c:formatCode="0">
                  <c:v>2016</c:v>
                </c:pt>
                <c:pt idx="1" c:formatCode="0">
                  <c:v>2017</c:v>
                </c:pt>
                <c:pt idx="2" c:formatCode="0">
                  <c:v>2018</c:v>
                </c:pt>
                <c:pt idx="3" c:formatCode="0">
                  <c:v>2019</c:v>
                </c:pt>
                <c:pt idx="4" c:formatCode="0">
                  <c:v>2020</c:v>
                </c:pt>
                <c:pt idx="5" c:formatCode="0">
                  <c:v>2021</c:v>
                </c:pt>
                <c:pt idx="6" c:formatCode="0">
                  <c:v>2022</c:v>
                </c:pt>
                <c:pt idx="7" c:formatCode="0">
                  <c:v>2023</c:v>
                </c:pt>
                <c:pt idx="8" c:formatCode="0">
                  <c:v>2024</c:v>
                </c:pt>
                <c:pt idx="9" c:formatCode="0">
                  <c:v>2025</c:v>
                </c:pt>
                <c:pt idx="10" c:formatCode="0">
                  <c:v>2026</c:v>
                </c:pt>
                <c:pt idx="11" c:formatCode="0">
                  <c:v>2027</c:v>
                </c:pt>
                <c:pt idx="12" c:formatCode="0">
                  <c:v>2028</c:v>
                </c:pt>
                <c:pt idx="13" c:formatCode="0">
                  <c:v>2029</c:v>
                </c:pt>
                <c:pt idx="14" c:formatCode="0">
                  <c:v>2030</c:v>
                </c:pt>
                <c:pt idx="15" c:formatCode="0">
                  <c:v>2031</c:v>
                </c:pt>
                <c:pt idx="16" c:formatCode="0">
                  <c:v>2032</c:v>
                </c:pt>
                <c:pt idx="17" c:formatCode="0">
                  <c:v>2033</c:v>
                </c:pt>
                <c:pt idx="18" c:formatCode="0">
                  <c:v>2034</c:v>
                </c:pt>
                <c:pt idx="19" c:formatCode="0">
                  <c:v>2035</c:v>
                </c:pt>
                <c:pt idx="20" c:formatCode="0">
                  <c:v>2036</c:v>
                </c:pt>
                <c:pt idx="21" c:formatCode="0">
                  <c:v>2037</c:v>
                </c:pt>
                <c:pt idx="22" c:formatCode="0">
                  <c:v>2038</c:v>
                </c:pt>
                <c:pt idx="23" c:formatCode="0">
                  <c:v>2039</c:v>
                </c:pt>
                <c:pt idx="24" c:formatCode="0">
                  <c:v>2040</c:v>
                </c:pt>
                <c:pt idx="25" c:formatCode="0">
                  <c:v>2041</c:v>
                </c:pt>
                <c:pt idx="26" c:formatCode="0">
                  <c:v>2042</c:v>
                </c:pt>
                <c:pt idx="27" c:formatCode="0">
                  <c:v>2043</c:v>
                </c:pt>
                <c:pt idx="28" c:formatCode="0">
                  <c:v>2044</c:v>
                </c:pt>
                <c:pt idx="29" c:formatCode="0">
                  <c:v>2045</c:v>
                </c:pt>
                <c:pt idx="30" c:formatCode="0">
                  <c:v>2046</c:v>
                </c:pt>
                <c:pt idx="31" c:formatCode="0">
                  <c:v>2047</c:v>
                </c:pt>
                <c:pt idx="32" c:formatCode="0">
                  <c:v>2048</c:v>
                </c:pt>
                <c:pt idx="33" c:formatCode="0">
                  <c:v>2049</c:v>
                </c:pt>
                <c:pt idx="34" c:formatCode="0">
                  <c:v>2050</c:v>
                </c:pt>
              </c:numCache>
            </c:numRef>
          </c:cat>
          <c:val>
            <c:numRef>
              <c:f>'[67db6731664c2.xlsx]Casthouse &amp; Post-CH Data Entry'!$D$10:$AL$10</c:f>
              <c:numCache>
                <c:formatCode>General</c:formatCode>
                <c:ptCount val="35"/>
                <c:pt idx="7" c:formatCode="0.000">
                  <c:v>0.54</c:v>
                </c:pt>
                <c:pt idx="8" c:formatCode="0.000">
                  <c:v>0.486</c:v>
                </c:pt>
                <c:pt idx="9" c:formatCode="0.000">
                  <c:v>0.4374</c:v>
                </c:pt>
                <c:pt idx="10" c:formatCode="0.000">
                  <c:v>0.39366</c:v>
                </c:pt>
                <c:pt idx="11" c:formatCode="0.000">
                  <c:v>0.354294</c:v>
                </c:pt>
                <c:pt idx="12" c:formatCode="0.000">
                  <c:v>0.3188646</c:v>
                </c:pt>
                <c:pt idx="13" c:formatCode="0.000">
                  <c:v>0.28697814</c:v>
                </c:pt>
                <c:pt idx="14" c:formatCode="0.000">
                  <c:v>0.258280326</c:v>
                </c:pt>
                <c:pt idx="15" c:formatCode="0.000">
                  <c:v>0.2324522934</c:v>
                </c:pt>
                <c:pt idx="16" c:formatCode="0.000">
                  <c:v>0.20920706406</c:v>
                </c:pt>
                <c:pt idx="17" c:formatCode="0.000">
                  <c:v>0.188286357654</c:v>
                </c:pt>
                <c:pt idx="18" c:formatCode="0.000">
                  <c:v>0.1694577218886</c:v>
                </c:pt>
                <c:pt idx="19" c:formatCode="0.000">
                  <c:v>0.15251194969974</c:v>
                </c:pt>
                <c:pt idx="20" c:formatCode="0.000">
                  <c:v>0.137260754729766</c:v>
                </c:pt>
                <c:pt idx="21" c:formatCode="0.000">
                  <c:v>0.123534679256789</c:v>
                </c:pt>
                <c:pt idx="22" c:formatCode="0.000">
                  <c:v>0.11118121133111</c:v>
                </c:pt>
                <c:pt idx="23" c:formatCode="0.000">
                  <c:v>0.100063090197999</c:v>
                </c:pt>
                <c:pt idx="24" c:formatCode="0.000">
                  <c:v>0.0900567811781995</c:v>
                </c:pt>
                <c:pt idx="25" c:formatCode="0.000">
                  <c:v>0.0810511030603795</c:v>
                </c:pt>
                <c:pt idx="26" c:formatCode="0.000">
                  <c:v>0.0729459927543416</c:v>
                </c:pt>
                <c:pt idx="27" c:formatCode="0.000">
                  <c:v>0.0656513934789074</c:v>
                </c:pt>
                <c:pt idx="28" c:formatCode="0.000">
                  <c:v>0.0590862541310167</c:v>
                </c:pt>
                <c:pt idx="29" c:formatCode="0.000">
                  <c:v>0.053177628717915</c:v>
                </c:pt>
                <c:pt idx="30" c:formatCode="0.000">
                  <c:v>0.0478598658461235</c:v>
                </c:pt>
                <c:pt idx="31" c:formatCode="0.000">
                  <c:v>0.0430738792615112</c:v>
                </c:pt>
                <c:pt idx="32" c:formatCode="0.000">
                  <c:v>0.03876649133536</c:v>
                </c:pt>
                <c:pt idx="33" c:formatCode="0.000">
                  <c:v>0.034889842201824</c:v>
                </c:pt>
                <c:pt idx="34" c:formatCode="0.000">
                  <c:v>0.0314008579816416</c:v>
                </c:pt>
              </c:numCache>
            </c:numRef>
          </c:val>
          <c:smooth val="0"/>
        </c:ser>
        <c:ser>
          <c:idx val="3"/>
          <c:order val="1"/>
          <c:tx>
            <c:strRef>
              <c:f>"Sector Casthouse Process"</c:f>
              <c:strCache>
                <c:ptCount val="1"/>
                <c:pt idx="0">
                  <c:v>Sector Casthouse Process</c:v>
                </c:pt>
              </c:strCache>
            </c:strRef>
          </c:tx>
          <c:spPr>
            <a:ln w="28575" cap="rnd">
              <a:solidFill>
                <a:schemeClr val="accent3"/>
              </a:solidFill>
              <a:prstDash val="dash"/>
              <a:round/>
            </a:ln>
            <a:effectLst/>
          </c:spPr>
          <c:marker>
            <c:symbol val="none"/>
          </c:marker>
          <c:dLbls>
            <c:delete val="1"/>
          </c:dLbls>
          <c:cat>
            <c:numRef>
              <c:f>'[67db6731664c2.xlsx]Casthouse &amp; Post-CH Data Entry'!$D$13:$AL$13</c:f>
              <c:numCache>
                <c:formatCode>0</c:formatCode>
                <c:ptCount val="35"/>
                <c:pt idx="0" c:formatCode="0">
                  <c:v>2016</c:v>
                </c:pt>
                <c:pt idx="1" c:formatCode="0">
                  <c:v>2017</c:v>
                </c:pt>
                <c:pt idx="2" c:formatCode="0">
                  <c:v>2018</c:v>
                </c:pt>
                <c:pt idx="3" c:formatCode="0">
                  <c:v>2019</c:v>
                </c:pt>
                <c:pt idx="4" c:formatCode="0">
                  <c:v>2020</c:v>
                </c:pt>
                <c:pt idx="5" c:formatCode="0">
                  <c:v>2021</c:v>
                </c:pt>
                <c:pt idx="6" c:formatCode="0">
                  <c:v>2022</c:v>
                </c:pt>
                <c:pt idx="7" c:formatCode="0">
                  <c:v>2023</c:v>
                </c:pt>
                <c:pt idx="8" c:formatCode="0">
                  <c:v>2024</c:v>
                </c:pt>
                <c:pt idx="9" c:formatCode="0">
                  <c:v>2025</c:v>
                </c:pt>
                <c:pt idx="10" c:formatCode="0">
                  <c:v>2026</c:v>
                </c:pt>
                <c:pt idx="11" c:formatCode="0">
                  <c:v>2027</c:v>
                </c:pt>
                <c:pt idx="12" c:formatCode="0">
                  <c:v>2028</c:v>
                </c:pt>
                <c:pt idx="13" c:formatCode="0">
                  <c:v>2029</c:v>
                </c:pt>
                <c:pt idx="14" c:formatCode="0">
                  <c:v>2030</c:v>
                </c:pt>
                <c:pt idx="15" c:formatCode="0">
                  <c:v>2031</c:v>
                </c:pt>
                <c:pt idx="16" c:formatCode="0">
                  <c:v>2032</c:v>
                </c:pt>
                <c:pt idx="17" c:formatCode="0">
                  <c:v>2033</c:v>
                </c:pt>
                <c:pt idx="18" c:formatCode="0">
                  <c:v>2034</c:v>
                </c:pt>
                <c:pt idx="19" c:formatCode="0">
                  <c:v>2035</c:v>
                </c:pt>
                <c:pt idx="20" c:formatCode="0">
                  <c:v>2036</c:v>
                </c:pt>
                <c:pt idx="21" c:formatCode="0">
                  <c:v>2037</c:v>
                </c:pt>
                <c:pt idx="22" c:formatCode="0">
                  <c:v>2038</c:v>
                </c:pt>
                <c:pt idx="23" c:formatCode="0">
                  <c:v>2039</c:v>
                </c:pt>
                <c:pt idx="24" c:formatCode="0">
                  <c:v>2040</c:v>
                </c:pt>
                <c:pt idx="25" c:formatCode="0">
                  <c:v>2041</c:v>
                </c:pt>
                <c:pt idx="26" c:formatCode="0">
                  <c:v>2042</c:v>
                </c:pt>
                <c:pt idx="27" c:formatCode="0">
                  <c:v>2043</c:v>
                </c:pt>
                <c:pt idx="28" c:formatCode="0">
                  <c:v>2044</c:v>
                </c:pt>
                <c:pt idx="29" c:formatCode="0">
                  <c:v>2045</c:v>
                </c:pt>
                <c:pt idx="30" c:formatCode="0">
                  <c:v>2046</c:v>
                </c:pt>
                <c:pt idx="31" c:formatCode="0">
                  <c:v>2047</c:v>
                </c:pt>
                <c:pt idx="32" c:formatCode="0">
                  <c:v>2048</c:v>
                </c:pt>
                <c:pt idx="33" c:formatCode="0">
                  <c:v>2049</c:v>
                </c:pt>
                <c:pt idx="34" c:formatCode="0">
                  <c:v>2050</c:v>
                </c:pt>
              </c:numCache>
            </c:numRef>
          </c:cat>
          <c:val>
            <c:numRef>
              <c:f>'[67db6731664c2.xlsx]Recycling G2G Data Table'!$B$2:$AJ$2</c:f>
              <c:numCache>
                <c:formatCode>0.000</c:formatCode>
                <c:ptCount val="35"/>
                <c:pt idx="0">
                  <c:v>0.418040921900816</c:v>
                </c:pt>
                <c:pt idx="1">
                  <c:v>0.418040921900816</c:v>
                </c:pt>
                <c:pt idx="2">
                  <c:v>0.418040921900816</c:v>
                </c:pt>
                <c:pt idx="3">
                  <c:v>0.408870751798659</c:v>
                </c:pt>
                <c:pt idx="4">
                  <c:v>0.400136393532343</c:v>
                </c:pt>
                <c:pt idx="5">
                  <c:v>0.39180750031582</c:v>
                </c:pt>
                <c:pt idx="6">
                  <c:v>0.383856478957338</c:v>
                </c:pt>
                <c:pt idx="7">
                  <c:v>0.376258184468897</c:v>
                </c:pt>
                <c:pt idx="8">
                  <c:v>0.36898965443737</c:v>
                </c:pt>
                <c:pt idx="9">
                  <c:v>0.362029877245798</c:v>
                </c:pt>
                <c:pt idx="10">
                  <c:v>0.355359589216912</c:v>
                </c:pt>
                <c:pt idx="11">
                  <c:v>0.348961096554143</c:v>
                </c:pt>
                <c:pt idx="12">
                  <c:v>0.342818118614228</c:v>
                </c:pt>
                <c:pt idx="13">
                  <c:v>0.336915649588314</c:v>
                </c:pt>
                <c:pt idx="14">
                  <c:v>0.331239836117451</c:v>
                </c:pt>
                <c:pt idx="15">
                  <c:v>0.316882159645001</c:v>
                </c:pt>
                <c:pt idx="16">
                  <c:v>0.30295964432058</c:v>
                </c:pt>
                <c:pt idx="17">
                  <c:v>0.28945280178551</c:v>
                </c:pt>
                <c:pt idx="18">
                  <c:v>0.27634329025985</c:v>
                </c:pt>
                <c:pt idx="19">
                  <c:v>0.263613831442362</c:v>
                </c:pt>
                <c:pt idx="20">
                  <c:v>0.246639436536824</c:v>
                </c:pt>
                <c:pt idx="21">
                  <c:v>0.230210843807152</c:v>
                </c:pt>
                <c:pt idx="22">
                  <c:v>0.214302144842954</c:v>
                </c:pt>
                <c:pt idx="23">
                  <c:v>0.198889045469874</c:v>
                </c:pt>
                <c:pt idx="24">
                  <c:v>0.183948741958121</c:v>
                </c:pt>
                <c:pt idx="25">
                  <c:v>0.167743386553953</c:v>
                </c:pt>
                <c:pt idx="26">
                  <c:v>0.15186009595476</c:v>
                </c:pt>
                <c:pt idx="27">
                  <c:v>0.136289363566311</c:v>
                </c:pt>
                <c:pt idx="28">
                  <c:v>0.121022053298589</c:v>
                </c:pt>
                <c:pt idx="29">
                  <c:v>0.106049381690202</c:v>
                </c:pt>
                <c:pt idx="30">
                  <c:v>0.0997963930850234</c:v>
                </c:pt>
                <c:pt idx="31">
                  <c:v>0.0936401801174529</c:v>
                </c:pt>
                <c:pt idx="32">
                  <c:v>0.0875785133878947</c:v>
                </c:pt>
                <c:pt idx="33">
                  <c:v>0.0816092314525258</c:v>
                </c:pt>
                <c:pt idx="34">
                  <c:v>0.0757302382536226</c:v>
                </c:pt>
              </c:numCache>
            </c:numRef>
          </c:val>
          <c:smooth val="0"/>
        </c:ser>
        <c:dLbls>
          <c:showLegendKey val="0"/>
          <c:showVal val="0"/>
          <c:showCatName val="0"/>
          <c:showSerName val="0"/>
          <c:showPercent val="0"/>
          <c:showBubbleSize val="0"/>
        </c:dLbls>
        <c:marker val="1"/>
        <c:smooth val="0"/>
        <c:axId val="2053203040"/>
        <c:axId val="2053201120"/>
      </c:lineChart>
      <c:catAx>
        <c:axId val="205320304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53201120"/>
        <c:crosses val="autoZero"/>
        <c:auto val="1"/>
        <c:lblAlgn val="ctr"/>
        <c:lblOffset val="100"/>
        <c:noMultiLvlLbl val="0"/>
      </c:catAx>
      <c:valAx>
        <c:axId val="2053201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r>
                  <a:rPr lang="en-GB"/>
                  <a:t>t CO2e/t Al</a:t>
                </a:r>
                <a:endParaRPr lang="en-GB"/>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crossAx val="2053203040"/>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20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40" b="0" i="0" u="none" strike="noStrike" kern="1200" spc="0" baseline="0">
                <a:solidFill>
                  <a:schemeClr val="tx1">
                    <a:lumMod val="65000"/>
                    <a:lumOff val="35000"/>
                  </a:schemeClr>
                </a:solidFill>
                <a:latin typeface="+mn-lt"/>
                <a:ea typeface="+mn-ea"/>
                <a:cs typeface="+mn-cs"/>
              </a:defRPr>
            </a:pPr>
            <a:r>
              <a:rPr lang="en-GB"/>
              <a:t>CH Procurement Scope 3 Cat.1</a:t>
            </a:r>
            <a:endParaRPr lang="en-GB"/>
          </a:p>
        </c:rich>
      </c:tx>
      <c:layout/>
      <c:overlay val="0"/>
      <c:spPr>
        <a:noFill/>
        <a:ln>
          <a:noFill/>
        </a:ln>
        <a:effectLst/>
      </c:spPr>
    </c:title>
    <c:autoTitleDeleted val="0"/>
    <c:plotArea>
      <c:layout>
        <c:manualLayout>
          <c:layoutTarget val="inner"/>
          <c:xMode val="edge"/>
          <c:yMode val="edge"/>
          <c:x val="0.0842911111111111"/>
          <c:y val="0.0807274074074074"/>
          <c:w val="0.907753555555556"/>
          <c:h val="0.760302518182173"/>
        </c:manualLayout>
      </c:layout>
      <c:lineChart>
        <c:grouping val="standard"/>
        <c:varyColors val="0"/>
        <c:ser>
          <c:idx val="2"/>
          <c:order val="0"/>
          <c:tx>
            <c:strRef>
              <c:f>"Entity Casthouse Procurement Slope"</c:f>
              <c:strCache>
                <c:ptCount val="1"/>
                <c:pt idx="0">
                  <c:v>Entity Casthouse Procurement Slope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elete val="1"/>
          </c:dLbls>
          <c:cat>
            <c:numRef>
              <c:f>'[67db6731664c2.xlsx]Casthouse &amp; Post-CH Data Entry'!$D$17:$AL$17</c:f>
              <c:numCache>
                <c:formatCode>0</c:formatCode>
                <c:ptCount val="35"/>
                <c:pt idx="0" c:formatCode="0">
                  <c:v>2016</c:v>
                </c:pt>
                <c:pt idx="1" c:formatCode="0">
                  <c:v>2017</c:v>
                </c:pt>
                <c:pt idx="2" c:formatCode="0">
                  <c:v>2018</c:v>
                </c:pt>
                <c:pt idx="3" c:formatCode="0">
                  <c:v>2019</c:v>
                </c:pt>
                <c:pt idx="4" c:formatCode="0">
                  <c:v>2020</c:v>
                </c:pt>
                <c:pt idx="5" c:formatCode="0">
                  <c:v>2021</c:v>
                </c:pt>
                <c:pt idx="6" c:formatCode="0">
                  <c:v>2022</c:v>
                </c:pt>
                <c:pt idx="7" c:formatCode="0">
                  <c:v>2023</c:v>
                </c:pt>
                <c:pt idx="8" c:formatCode="0">
                  <c:v>2024</c:v>
                </c:pt>
                <c:pt idx="9" c:formatCode="0">
                  <c:v>2025</c:v>
                </c:pt>
                <c:pt idx="10" c:formatCode="0">
                  <c:v>2026</c:v>
                </c:pt>
                <c:pt idx="11" c:formatCode="0">
                  <c:v>2027</c:v>
                </c:pt>
                <c:pt idx="12" c:formatCode="0">
                  <c:v>2028</c:v>
                </c:pt>
                <c:pt idx="13" c:formatCode="0">
                  <c:v>2029</c:v>
                </c:pt>
                <c:pt idx="14" c:formatCode="0">
                  <c:v>2030</c:v>
                </c:pt>
                <c:pt idx="15" c:formatCode="0">
                  <c:v>2031</c:v>
                </c:pt>
                <c:pt idx="16" c:formatCode="0">
                  <c:v>2032</c:v>
                </c:pt>
                <c:pt idx="17" c:formatCode="0">
                  <c:v>2033</c:v>
                </c:pt>
                <c:pt idx="18" c:formatCode="0">
                  <c:v>2034</c:v>
                </c:pt>
                <c:pt idx="19" c:formatCode="0">
                  <c:v>2035</c:v>
                </c:pt>
                <c:pt idx="20" c:formatCode="0">
                  <c:v>2036</c:v>
                </c:pt>
                <c:pt idx="21" c:formatCode="0">
                  <c:v>2037</c:v>
                </c:pt>
                <c:pt idx="22" c:formatCode="0">
                  <c:v>2038</c:v>
                </c:pt>
                <c:pt idx="23" c:formatCode="0">
                  <c:v>2039</c:v>
                </c:pt>
                <c:pt idx="24" c:formatCode="0">
                  <c:v>2040</c:v>
                </c:pt>
                <c:pt idx="25" c:formatCode="0">
                  <c:v>2041</c:v>
                </c:pt>
                <c:pt idx="26" c:formatCode="0">
                  <c:v>2042</c:v>
                </c:pt>
                <c:pt idx="27" c:formatCode="0">
                  <c:v>2043</c:v>
                </c:pt>
                <c:pt idx="28" c:formatCode="0">
                  <c:v>2044</c:v>
                </c:pt>
                <c:pt idx="29" c:formatCode="0">
                  <c:v>2045</c:v>
                </c:pt>
                <c:pt idx="30" c:formatCode="0">
                  <c:v>2046</c:v>
                </c:pt>
                <c:pt idx="31" c:formatCode="0">
                  <c:v>2047</c:v>
                </c:pt>
                <c:pt idx="32" c:formatCode="0">
                  <c:v>2048</c:v>
                </c:pt>
                <c:pt idx="33" c:formatCode="0">
                  <c:v>2049</c:v>
                </c:pt>
                <c:pt idx="34" c:formatCode="0">
                  <c:v>2050</c:v>
                </c:pt>
              </c:numCache>
            </c:numRef>
          </c:cat>
          <c:val>
            <c:numRef>
              <c:f>'[67db6731664c2.xlsx]Casthouse &amp; Post-CH Data Entry'!$D$11:$AL$11</c:f>
              <c:numCache>
                <c:formatCode>General</c:formatCode>
                <c:ptCount val="35"/>
                <c:pt idx="7" c:formatCode="0.0">
                  <c:v>12.88</c:v>
                </c:pt>
                <c:pt idx="8" c:formatCode="0.000">
                  <c:v>11.592</c:v>
                </c:pt>
                <c:pt idx="9" c:formatCode="0.000">
                  <c:v>10.4328</c:v>
                </c:pt>
                <c:pt idx="10" c:formatCode="0.000">
                  <c:v>9.38952</c:v>
                </c:pt>
                <c:pt idx="11" c:formatCode="0.000">
                  <c:v>8.450568</c:v>
                </c:pt>
                <c:pt idx="12" c:formatCode="0.000">
                  <c:v>7.6055112</c:v>
                </c:pt>
                <c:pt idx="13" c:formatCode="0.000">
                  <c:v>6.84496008</c:v>
                </c:pt>
                <c:pt idx="14" c:formatCode="0.000">
                  <c:v>6.160464072</c:v>
                </c:pt>
                <c:pt idx="15" c:formatCode="0.000">
                  <c:v>4.9283712576</c:v>
                </c:pt>
                <c:pt idx="16" c:formatCode="0.000">
                  <c:v>3.94269700608</c:v>
                </c:pt>
                <c:pt idx="17" c:formatCode="0.000">
                  <c:v>3.154157604864</c:v>
                </c:pt>
                <c:pt idx="18" c:formatCode="0.000">
                  <c:v>2.5233260838912</c:v>
                </c:pt>
                <c:pt idx="19" c:formatCode="0.000">
                  <c:v>2.01866086711296</c:v>
                </c:pt>
                <c:pt idx="20" c:formatCode="0.000">
                  <c:v>1.61492869369037</c:v>
                </c:pt>
                <c:pt idx="21" c:formatCode="0.000">
                  <c:v>1.2919429549523</c:v>
                </c:pt>
                <c:pt idx="22" c:formatCode="0.000">
                  <c:v>1.03355436396184</c:v>
                </c:pt>
                <c:pt idx="23" c:formatCode="0.000">
                  <c:v>0.826843491169469</c:v>
                </c:pt>
                <c:pt idx="24" c:formatCode="0.000">
                  <c:v>0.661474792935575</c:v>
                </c:pt>
                <c:pt idx="25" c:formatCode="0.000">
                  <c:v>0.562253573995239</c:v>
                </c:pt>
                <c:pt idx="26" c:formatCode="0.000">
                  <c:v>0.477915537895953</c:v>
                </c:pt>
                <c:pt idx="27" c:formatCode="0.000">
                  <c:v>0.40622820721156</c:v>
                </c:pt>
                <c:pt idx="28" c:formatCode="0.000">
                  <c:v>0.345293976129826</c:v>
                </c:pt>
                <c:pt idx="29" c:formatCode="0.000">
                  <c:v>0.293499879710352</c:v>
                </c:pt>
                <c:pt idx="30" c:formatCode="0.000">
                  <c:v>0.249474897753799</c:v>
                </c:pt>
                <c:pt idx="31" c:formatCode="0.000">
                  <c:v>0.212053663090729</c:v>
                </c:pt>
                <c:pt idx="32" c:formatCode="0.000">
                  <c:v>0.18024561362712</c:v>
                </c:pt>
                <c:pt idx="33" c:formatCode="0.000">
                  <c:v>0.153208771583052</c:v>
                </c:pt>
                <c:pt idx="34" c:formatCode="0.000">
                  <c:v>0.130227455845594</c:v>
                </c:pt>
              </c:numCache>
            </c:numRef>
          </c:val>
          <c:smooth val="0"/>
        </c:ser>
        <c:ser>
          <c:idx val="3"/>
          <c:order val="1"/>
          <c:tx>
            <c:strRef>
              <c:f>"Sector Casthouse Procurement"</c:f>
              <c:strCache>
                <c:ptCount val="1"/>
                <c:pt idx="0">
                  <c:v>Sector Casthouse Procurement</c:v>
                </c:pt>
              </c:strCache>
            </c:strRef>
          </c:tx>
          <c:spPr>
            <a:ln w="28575" cap="rnd">
              <a:solidFill>
                <a:schemeClr val="accent3"/>
              </a:solidFill>
              <a:prstDash val="dash"/>
              <a:round/>
            </a:ln>
            <a:effectLst/>
          </c:spPr>
          <c:marker>
            <c:symbol val="none"/>
          </c:marker>
          <c:dLbls>
            <c:delete val="1"/>
          </c:dLbls>
          <c:cat>
            <c:numRef>
              <c:f>'[67db6731664c2.xlsx]Casthouse &amp; Post-CH Data Entry'!$D$17:$AL$17</c:f>
              <c:numCache>
                <c:formatCode>0</c:formatCode>
                <c:ptCount val="35"/>
                <c:pt idx="0" c:formatCode="0">
                  <c:v>2016</c:v>
                </c:pt>
                <c:pt idx="1" c:formatCode="0">
                  <c:v>2017</c:v>
                </c:pt>
                <c:pt idx="2" c:formatCode="0">
                  <c:v>2018</c:v>
                </c:pt>
                <c:pt idx="3" c:formatCode="0">
                  <c:v>2019</c:v>
                </c:pt>
                <c:pt idx="4" c:formatCode="0">
                  <c:v>2020</c:v>
                </c:pt>
                <c:pt idx="5" c:formatCode="0">
                  <c:v>2021</c:v>
                </c:pt>
                <c:pt idx="6" c:formatCode="0">
                  <c:v>2022</c:v>
                </c:pt>
                <c:pt idx="7" c:formatCode="0">
                  <c:v>2023</c:v>
                </c:pt>
                <c:pt idx="8" c:formatCode="0">
                  <c:v>2024</c:v>
                </c:pt>
                <c:pt idx="9" c:formatCode="0">
                  <c:v>2025</c:v>
                </c:pt>
                <c:pt idx="10" c:formatCode="0">
                  <c:v>2026</c:v>
                </c:pt>
                <c:pt idx="11" c:formatCode="0">
                  <c:v>2027</c:v>
                </c:pt>
                <c:pt idx="12" c:formatCode="0">
                  <c:v>2028</c:v>
                </c:pt>
                <c:pt idx="13" c:formatCode="0">
                  <c:v>2029</c:v>
                </c:pt>
                <c:pt idx="14" c:formatCode="0">
                  <c:v>2030</c:v>
                </c:pt>
                <c:pt idx="15" c:formatCode="0">
                  <c:v>2031</c:v>
                </c:pt>
                <c:pt idx="16" c:formatCode="0">
                  <c:v>2032</c:v>
                </c:pt>
                <c:pt idx="17" c:formatCode="0">
                  <c:v>2033</c:v>
                </c:pt>
                <c:pt idx="18" c:formatCode="0">
                  <c:v>2034</c:v>
                </c:pt>
                <c:pt idx="19" c:formatCode="0">
                  <c:v>2035</c:v>
                </c:pt>
                <c:pt idx="20" c:formatCode="0">
                  <c:v>2036</c:v>
                </c:pt>
                <c:pt idx="21" c:formatCode="0">
                  <c:v>2037</c:v>
                </c:pt>
                <c:pt idx="22" c:formatCode="0">
                  <c:v>2038</c:v>
                </c:pt>
                <c:pt idx="23" c:formatCode="0">
                  <c:v>2039</c:v>
                </c:pt>
                <c:pt idx="24" c:formatCode="0">
                  <c:v>2040</c:v>
                </c:pt>
                <c:pt idx="25" c:formatCode="0">
                  <c:v>2041</c:v>
                </c:pt>
                <c:pt idx="26" c:formatCode="0">
                  <c:v>2042</c:v>
                </c:pt>
                <c:pt idx="27" c:formatCode="0">
                  <c:v>2043</c:v>
                </c:pt>
                <c:pt idx="28" c:formatCode="0">
                  <c:v>2044</c:v>
                </c:pt>
                <c:pt idx="29" c:formatCode="0">
                  <c:v>2045</c:v>
                </c:pt>
                <c:pt idx="30" c:formatCode="0">
                  <c:v>2046</c:v>
                </c:pt>
                <c:pt idx="31" c:formatCode="0">
                  <c:v>2047</c:v>
                </c:pt>
                <c:pt idx="32" c:formatCode="0">
                  <c:v>2048</c:v>
                </c:pt>
                <c:pt idx="33" c:formatCode="0">
                  <c:v>2049</c:v>
                </c:pt>
                <c:pt idx="34" c:formatCode="0">
                  <c:v>2050</c:v>
                </c:pt>
              </c:numCache>
            </c:numRef>
          </c:cat>
          <c:val>
            <c:numRef>
              <c:f>'[67db6731664c2.xlsx]Casthouse Proc''ment Data Table'!$B$2:$AJ$2</c:f>
              <c:numCache>
                <c:formatCode>0.00</c:formatCode>
                <c:ptCount val="35"/>
                <c:pt idx="0">
                  <c:v>8.019518751989</c:v>
                </c:pt>
                <c:pt idx="1">
                  <c:v>8.019518751989</c:v>
                </c:pt>
                <c:pt idx="2">
                  <c:v>8.019518751989</c:v>
                </c:pt>
                <c:pt idx="3">
                  <c:v>7.82718884118299</c:v>
                </c:pt>
                <c:pt idx="4">
                  <c:v>7.36222006488972</c:v>
                </c:pt>
                <c:pt idx="5">
                  <c:v>7.42722383635967</c:v>
                </c:pt>
                <c:pt idx="6">
                  <c:v>7.2253994641217</c:v>
                </c:pt>
                <c:pt idx="7">
                  <c:v>6.83498415647625</c:v>
                </c:pt>
                <c:pt idx="8">
                  <c:v>6.61566842936383</c:v>
                </c:pt>
                <c:pt idx="9">
                  <c:v>6.39053619891348</c:v>
                </c:pt>
                <c:pt idx="10">
                  <c:v>6.03491349281585</c:v>
                </c:pt>
                <c:pt idx="11">
                  <c:v>5.99175195121645</c:v>
                </c:pt>
                <c:pt idx="12">
                  <c:v>5.70036288463635</c:v>
                </c:pt>
                <c:pt idx="13">
                  <c:v>5.39821665318497</c:v>
                </c:pt>
                <c:pt idx="14">
                  <c:v>5.04101727344669</c:v>
                </c:pt>
                <c:pt idx="15">
                  <c:v>4.34677869179414</c:v>
                </c:pt>
                <c:pt idx="16">
                  <c:v>3.41022880145298</c:v>
                </c:pt>
                <c:pt idx="17">
                  <c:v>3.11156119621534</c:v>
                </c:pt>
                <c:pt idx="18">
                  <c:v>2.46234189564895</c:v>
                </c:pt>
                <c:pt idx="19">
                  <c:v>1.80807887342226</c:v>
                </c:pt>
                <c:pt idx="20">
                  <c:v>1.68691257717023</c:v>
                </c:pt>
                <c:pt idx="21">
                  <c:v>1.32131347798761</c:v>
                </c:pt>
                <c:pt idx="22">
                  <c:v>1.13579258703788</c:v>
                </c:pt>
                <c:pt idx="23">
                  <c:v>0.942819749865848</c:v>
                </c:pt>
                <c:pt idx="24">
                  <c:v>0.912665653281024</c:v>
                </c:pt>
                <c:pt idx="25">
                  <c:v>0.824829624928652</c:v>
                </c:pt>
                <c:pt idx="26">
                  <c:v>0.696570364797816</c:v>
                </c:pt>
                <c:pt idx="27">
                  <c:v>0.591522072645002</c:v>
                </c:pt>
                <c:pt idx="28">
                  <c:v>0.574147932491065</c:v>
                </c:pt>
                <c:pt idx="29">
                  <c:v>0.503294131354652</c:v>
                </c:pt>
                <c:pt idx="30">
                  <c:v>0.459385620315545</c:v>
                </c:pt>
                <c:pt idx="31">
                  <c:v>0.426457381574058</c:v>
                </c:pt>
                <c:pt idx="32">
                  <c:v>0.303067610332427</c:v>
                </c:pt>
                <c:pt idx="33">
                  <c:v>0.233439529112877</c:v>
                </c:pt>
                <c:pt idx="34">
                  <c:v>0.200241824820087</c:v>
                </c:pt>
              </c:numCache>
            </c:numRef>
          </c:val>
          <c:smooth val="0"/>
        </c:ser>
        <c:dLbls>
          <c:showLegendKey val="0"/>
          <c:showVal val="0"/>
          <c:showCatName val="0"/>
          <c:showSerName val="0"/>
          <c:showPercent val="0"/>
          <c:showBubbleSize val="0"/>
        </c:dLbls>
        <c:marker val="1"/>
        <c:smooth val="0"/>
        <c:axId val="2053203040"/>
        <c:axId val="2053201120"/>
      </c:lineChart>
      <c:catAx>
        <c:axId val="205320304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53201120"/>
        <c:crosses val="autoZero"/>
        <c:auto val="1"/>
        <c:lblAlgn val="ctr"/>
        <c:lblOffset val="100"/>
        <c:noMultiLvlLbl val="0"/>
      </c:catAx>
      <c:valAx>
        <c:axId val="2053201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r>
                  <a:rPr lang="en-GB"/>
                  <a:t>t CO2e/t Al</a:t>
                </a:r>
                <a:endParaRPr lang="en-GB"/>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crossAx val="2053203040"/>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20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40" b="0" i="0" u="none" strike="noStrike" kern="1200" spc="0" baseline="0">
                <a:solidFill>
                  <a:schemeClr val="tx1">
                    <a:lumMod val="65000"/>
                    <a:lumOff val="35000"/>
                  </a:schemeClr>
                </a:solidFill>
                <a:latin typeface="+mn-lt"/>
                <a:ea typeface="+mn-ea"/>
                <a:cs typeface="+mn-cs"/>
              </a:defRPr>
            </a:pPr>
            <a:r>
              <a:rPr lang="en-GB"/>
              <a:t>Semi-fab Scopes 1+2 Slope Chart</a:t>
            </a:r>
            <a:endParaRPr lang="en-GB"/>
          </a:p>
        </c:rich>
      </c:tx>
      <c:layout/>
      <c:overlay val="0"/>
      <c:spPr>
        <a:noFill/>
        <a:ln>
          <a:noFill/>
        </a:ln>
        <a:effectLst/>
      </c:spPr>
    </c:title>
    <c:autoTitleDeleted val="0"/>
    <c:plotArea>
      <c:layout>
        <c:manualLayout>
          <c:layoutTarget val="inner"/>
          <c:xMode val="edge"/>
          <c:yMode val="edge"/>
          <c:x val="0.0842911111111111"/>
          <c:y val="0.0807274074074074"/>
          <c:w val="0.907753555555556"/>
          <c:h val="0.740200185185185"/>
        </c:manualLayout>
      </c:layout>
      <c:lineChart>
        <c:grouping val="standard"/>
        <c:varyColors val="0"/>
        <c:ser>
          <c:idx val="0"/>
          <c:order val="0"/>
          <c:tx>
            <c:strRef>
              <c:f>"Entity Semis Process Slope"</c:f>
              <c:strCache>
                <c:ptCount val="1"/>
                <c:pt idx="0">
                  <c:v>Entity Semis Process Slope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numRef>
              <c:f>'[67db6731664c2.xlsx]Casthouse &amp; Post-CH Data Entry'!$D$13:$AL$13</c:f>
              <c:numCache>
                <c:formatCode>0</c:formatCode>
                <c:ptCount val="35"/>
                <c:pt idx="0" c:formatCode="0">
                  <c:v>2016</c:v>
                </c:pt>
                <c:pt idx="1" c:formatCode="0">
                  <c:v>2017</c:v>
                </c:pt>
                <c:pt idx="2" c:formatCode="0">
                  <c:v>2018</c:v>
                </c:pt>
                <c:pt idx="3" c:formatCode="0">
                  <c:v>2019</c:v>
                </c:pt>
                <c:pt idx="4" c:formatCode="0">
                  <c:v>2020</c:v>
                </c:pt>
                <c:pt idx="5" c:formatCode="0">
                  <c:v>2021</c:v>
                </c:pt>
                <c:pt idx="6" c:formatCode="0">
                  <c:v>2022</c:v>
                </c:pt>
                <c:pt idx="7" c:formatCode="0">
                  <c:v>2023</c:v>
                </c:pt>
                <c:pt idx="8" c:formatCode="0">
                  <c:v>2024</c:v>
                </c:pt>
                <c:pt idx="9" c:formatCode="0">
                  <c:v>2025</c:v>
                </c:pt>
                <c:pt idx="10" c:formatCode="0">
                  <c:v>2026</c:v>
                </c:pt>
                <c:pt idx="11" c:formatCode="0">
                  <c:v>2027</c:v>
                </c:pt>
                <c:pt idx="12" c:formatCode="0">
                  <c:v>2028</c:v>
                </c:pt>
                <c:pt idx="13" c:formatCode="0">
                  <c:v>2029</c:v>
                </c:pt>
                <c:pt idx="14" c:formatCode="0">
                  <c:v>2030</c:v>
                </c:pt>
                <c:pt idx="15" c:formatCode="0">
                  <c:v>2031</c:v>
                </c:pt>
                <c:pt idx="16" c:formatCode="0">
                  <c:v>2032</c:v>
                </c:pt>
                <c:pt idx="17" c:formatCode="0">
                  <c:v>2033</c:v>
                </c:pt>
                <c:pt idx="18" c:formatCode="0">
                  <c:v>2034</c:v>
                </c:pt>
                <c:pt idx="19" c:formatCode="0">
                  <c:v>2035</c:v>
                </c:pt>
                <c:pt idx="20" c:formatCode="0">
                  <c:v>2036</c:v>
                </c:pt>
                <c:pt idx="21" c:formatCode="0">
                  <c:v>2037</c:v>
                </c:pt>
                <c:pt idx="22" c:formatCode="0">
                  <c:v>2038</c:v>
                </c:pt>
                <c:pt idx="23" c:formatCode="0">
                  <c:v>2039</c:v>
                </c:pt>
                <c:pt idx="24" c:formatCode="0">
                  <c:v>2040</c:v>
                </c:pt>
                <c:pt idx="25" c:formatCode="0">
                  <c:v>2041</c:v>
                </c:pt>
                <c:pt idx="26" c:formatCode="0">
                  <c:v>2042</c:v>
                </c:pt>
                <c:pt idx="27" c:formatCode="0">
                  <c:v>2043</c:v>
                </c:pt>
                <c:pt idx="28" c:formatCode="0">
                  <c:v>2044</c:v>
                </c:pt>
                <c:pt idx="29" c:formatCode="0">
                  <c:v>2045</c:v>
                </c:pt>
                <c:pt idx="30" c:formatCode="0">
                  <c:v>2046</c:v>
                </c:pt>
                <c:pt idx="31" c:formatCode="0">
                  <c:v>2047</c:v>
                </c:pt>
                <c:pt idx="32" c:formatCode="0">
                  <c:v>2048</c:v>
                </c:pt>
                <c:pt idx="33" c:formatCode="0">
                  <c:v>2049</c:v>
                </c:pt>
                <c:pt idx="34" c:formatCode="0">
                  <c:v>2050</c:v>
                </c:pt>
              </c:numCache>
            </c:numRef>
          </c:cat>
          <c:val>
            <c:numRef>
              <c:f>'[67db6731664c2.xlsx]Casthouse &amp; Post-CH Data Entry'!$D$14:$AL$14</c:f>
              <c:numCache>
                <c:formatCode>General</c:formatCode>
                <c:ptCount val="35"/>
                <c:pt idx="7" c:formatCode="0.000">
                  <c:v>0.57</c:v>
                </c:pt>
                <c:pt idx="8" c:formatCode="0.000">
                  <c:v>0.513</c:v>
                </c:pt>
                <c:pt idx="9" c:formatCode="0.000">
                  <c:v>0.4617</c:v>
                </c:pt>
                <c:pt idx="10" c:formatCode="0.000">
                  <c:v>0.41553</c:v>
                </c:pt>
                <c:pt idx="11" c:formatCode="0.000">
                  <c:v>0.373977</c:v>
                </c:pt>
                <c:pt idx="12" c:formatCode="0.000">
                  <c:v>0.3365793</c:v>
                </c:pt>
                <c:pt idx="13" c:formatCode="0.000">
                  <c:v>0.30292137</c:v>
                </c:pt>
                <c:pt idx="14" c:formatCode="0.000">
                  <c:v>0.272629233</c:v>
                </c:pt>
                <c:pt idx="15" c:formatCode="0.000">
                  <c:v>0.2453663097</c:v>
                </c:pt>
                <c:pt idx="16" c:formatCode="0.000">
                  <c:v>0.22082967873</c:v>
                </c:pt>
                <c:pt idx="17" c:formatCode="0.000">
                  <c:v>0.198746710857</c:v>
                </c:pt>
                <c:pt idx="18" c:formatCode="0.000">
                  <c:v>0.1788720397713</c:v>
                </c:pt>
                <c:pt idx="19" c:formatCode="0.000">
                  <c:v>0.16098483579417</c:v>
                </c:pt>
                <c:pt idx="20" c:formatCode="0.000">
                  <c:v>0.144886352214753</c:v>
                </c:pt>
                <c:pt idx="21" c:formatCode="0.000">
                  <c:v>0.130397716993278</c:v>
                </c:pt>
                <c:pt idx="22" c:formatCode="0.000">
                  <c:v>0.11735794529395</c:v>
                </c:pt>
                <c:pt idx="23" c:formatCode="0.000">
                  <c:v>0.105622150764555</c:v>
                </c:pt>
                <c:pt idx="24" c:formatCode="0.000">
                  <c:v>0.0950599356880995</c:v>
                </c:pt>
                <c:pt idx="25" c:formatCode="0.000">
                  <c:v>0.0855539421192895</c:v>
                </c:pt>
                <c:pt idx="26" c:formatCode="0.000">
                  <c:v>0.0769985479073605</c:v>
                </c:pt>
                <c:pt idx="27" c:formatCode="0.000">
                  <c:v>0.0692986931166245</c:v>
                </c:pt>
                <c:pt idx="28" c:formatCode="0.000">
                  <c:v>0.062368823804962</c:v>
                </c:pt>
                <c:pt idx="29" c:formatCode="0.000">
                  <c:v>0.0561319414244658</c:v>
                </c:pt>
                <c:pt idx="30" c:formatCode="0.000">
                  <c:v>0.0505187472820193</c:v>
                </c:pt>
                <c:pt idx="31" c:formatCode="0.000">
                  <c:v>0.0454668725538173</c:v>
                </c:pt>
                <c:pt idx="32" c:formatCode="0.000">
                  <c:v>0.0409201852984356</c:v>
                </c:pt>
                <c:pt idx="33" c:formatCode="0.000">
                  <c:v>0.036828166768592</c:v>
                </c:pt>
                <c:pt idx="34" c:formatCode="0.000">
                  <c:v>0.0331453500917328</c:v>
                </c:pt>
              </c:numCache>
            </c:numRef>
          </c:val>
          <c:smooth val="0"/>
        </c:ser>
        <c:ser>
          <c:idx val="1"/>
          <c:order val="1"/>
          <c:tx>
            <c:strRef>
              <c:f>"Sector Semis Process"</c:f>
              <c:strCache>
                <c:ptCount val="1"/>
                <c:pt idx="0">
                  <c:v>Sector Semis Process</c:v>
                </c:pt>
              </c:strCache>
            </c:strRef>
          </c:tx>
          <c:spPr>
            <a:ln w="28575" cap="rnd">
              <a:solidFill>
                <a:schemeClr val="accent2"/>
              </a:solidFill>
              <a:prstDash val="dash"/>
              <a:round/>
            </a:ln>
            <a:effectLst/>
          </c:spPr>
          <c:marker>
            <c:symbol val="none"/>
          </c:marker>
          <c:dLbls>
            <c:delete val="1"/>
          </c:dLbls>
          <c:cat>
            <c:numRef>
              <c:f>'[67db6731664c2.xlsx]Casthouse &amp; Post-CH Data Entry'!$D$13:$AL$13</c:f>
              <c:numCache>
                <c:formatCode>0</c:formatCode>
                <c:ptCount val="35"/>
                <c:pt idx="0" c:formatCode="0">
                  <c:v>2016</c:v>
                </c:pt>
                <c:pt idx="1" c:formatCode="0">
                  <c:v>2017</c:v>
                </c:pt>
                <c:pt idx="2" c:formatCode="0">
                  <c:v>2018</c:v>
                </c:pt>
                <c:pt idx="3" c:formatCode="0">
                  <c:v>2019</c:v>
                </c:pt>
                <c:pt idx="4" c:formatCode="0">
                  <c:v>2020</c:v>
                </c:pt>
                <c:pt idx="5" c:formatCode="0">
                  <c:v>2021</c:v>
                </c:pt>
                <c:pt idx="6" c:formatCode="0">
                  <c:v>2022</c:v>
                </c:pt>
                <c:pt idx="7" c:formatCode="0">
                  <c:v>2023</c:v>
                </c:pt>
                <c:pt idx="8" c:formatCode="0">
                  <c:v>2024</c:v>
                </c:pt>
                <c:pt idx="9" c:formatCode="0">
                  <c:v>2025</c:v>
                </c:pt>
                <c:pt idx="10" c:formatCode="0">
                  <c:v>2026</c:v>
                </c:pt>
                <c:pt idx="11" c:formatCode="0">
                  <c:v>2027</c:v>
                </c:pt>
                <c:pt idx="12" c:formatCode="0">
                  <c:v>2028</c:v>
                </c:pt>
                <c:pt idx="13" c:formatCode="0">
                  <c:v>2029</c:v>
                </c:pt>
                <c:pt idx="14" c:formatCode="0">
                  <c:v>2030</c:v>
                </c:pt>
                <c:pt idx="15" c:formatCode="0">
                  <c:v>2031</c:v>
                </c:pt>
                <c:pt idx="16" c:formatCode="0">
                  <c:v>2032</c:v>
                </c:pt>
                <c:pt idx="17" c:formatCode="0">
                  <c:v>2033</c:v>
                </c:pt>
                <c:pt idx="18" c:formatCode="0">
                  <c:v>2034</c:v>
                </c:pt>
                <c:pt idx="19" c:formatCode="0">
                  <c:v>2035</c:v>
                </c:pt>
                <c:pt idx="20" c:formatCode="0">
                  <c:v>2036</c:v>
                </c:pt>
                <c:pt idx="21" c:formatCode="0">
                  <c:v>2037</c:v>
                </c:pt>
                <c:pt idx="22" c:formatCode="0">
                  <c:v>2038</c:v>
                </c:pt>
                <c:pt idx="23" c:formatCode="0">
                  <c:v>2039</c:v>
                </c:pt>
                <c:pt idx="24" c:formatCode="0">
                  <c:v>2040</c:v>
                </c:pt>
                <c:pt idx="25" c:formatCode="0">
                  <c:v>2041</c:v>
                </c:pt>
                <c:pt idx="26" c:formatCode="0">
                  <c:v>2042</c:v>
                </c:pt>
                <c:pt idx="27" c:formatCode="0">
                  <c:v>2043</c:v>
                </c:pt>
                <c:pt idx="28" c:formatCode="0">
                  <c:v>2044</c:v>
                </c:pt>
                <c:pt idx="29" c:formatCode="0">
                  <c:v>2045</c:v>
                </c:pt>
                <c:pt idx="30" c:formatCode="0">
                  <c:v>2046</c:v>
                </c:pt>
                <c:pt idx="31" c:formatCode="0">
                  <c:v>2047</c:v>
                </c:pt>
                <c:pt idx="32" c:formatCode="0">
                  <c:v>2048</c:v>
                </c:pt>
                <c:pt idx="33" c:formatCode="0">
                  <c:v>2049</c:v>
                </c:pt>
                <c:pt idx="34" c:formatCode="0">
                  <c:v>2050</c:v>
                </c:pt>
              </c:numCache>
            </c:numRef>
          </c:cat>
          <c:val>
            <c:numRef>
              <c:f>'[67db6731664c2.xlsx]Semis G2G Data Table'!$B$2:$AJ$2</c:f>
              <c:numCache>
                <c:formatCode>0.000</c:formatCode>
                <c:ptCount val="35"/>
                <c:pt idx="0">
                  <c:v>0.3</c:v>
                </c:pt>
                <c:pt idx="1">
                  <c:v>0.3</c:v>
                </c:pt>
                <c:pt idx="2">
                  <c:v>0.3</c:v>
                </c:pt>
                <c:pt idx="3">
                  <c:v>0.293010709316617</c:v>
                </c:pt>
                <c:pt idx="4">
                  <c:v>0.286021418633234</c:v>
                </c:pt>
                <c:pt idx="5">
                  <c:v>0.27903212794985</c:v>
                </c:pt>
                <c:pt idx="6">
                  <c:v>0.272042837266467</c:v>
                </c:pt>
                <c:pt idx="7">
                  <c:v>0.265053546583084</c:v>
                </c:pt>
                <c:pt idx="8">
                  <c:v>0.258064255899701</c:v>
                </c:pt>
                <c:pt idx="9">
                  <c:v>0.251074965216317</c:v>
                </c:pt>
                <c:pt idx="10">
                  <c:v>0.244085674532934</c:v>
                </c:pt>
                <c:pt idx="11">
                  <c:v>0.237096383849551</c:v>
                </c:pt>
                <c:pt idx="12">
                  <c:v>0.230107093166168</c:v>
                </c:pt>
                <c:pt idx="13">
                  <c:v>0.223117802482785</c:v>
                </c:pt>
                <c:pt idx="14">
                  <c:v>0.216128511799401</c:v>
                </c:pt>
                <c:pt idx="15">
                  <c:v>0.211638420287961</c:v>
                </c:pt>
                <c:pt idx="16">
                  <c:v>0.20714832877652</c:v>
                </c:pt>
                <c:pt idx="17">
                  <c:v>0.20265823726508</c:v>
                </c:pt>
                <c:pt idx="18">
                  <c:v>0.198168145753639</c:v>
                </c:pt>
                <c:pt idx="19">
                  <c:v>0.193678054242199</c:v>
                </c:pt>
                <c:pt idx="20">
                  <c:v>0.188199568919312</c:v>
                </c:pt>
                <c:pt idx="21">
                  <c:v>0.182721083596425</c:v>
                </c:pt>
                <c:pt idx="22">
                  <c:v>0.177242598273538</c:v>
                </c:pt>
                <c:pt idx="23">
                  <c:v>0.171764112950651</c:v>
                </c:pt>
                <c:pt idx="24">
                  <c:v>0.166285627627764</c:v>
                </c:pt>
                <c:pt idx="25">
                  <c:v>0.162140699537888</c:v>
                </c:pt>
                <c:pt idx="26">
                  <c:v>0.157995771448012</c:v>
                </c:pt>
                <c:pt idx="27">
                  <c:v>0.153850843358135</c:v>
                </c:pt>
                <c:pt idx="28">
                  <c:v>0.149705915268259</c:v>
                </c:pt>
                <c:pt idx="29">
                  <c:v>0.145560987178383</c:v>
                </c:pt>
                <c:pt idx="30">
                  <c:v>0.127707045729654</c:v>
                </c:pt>
                <c:pt idx="31">
                  <c:v>0.109853104280926</c:v>
                </c:pt>
                <c:pt idx="32">
                  <c:v>0.0919991628321977</c:v>
                </c:pt>
                <c:pt idx="33">
                  <c:v>0.0741452213834694</c:v>
                </c:pt>
                <c:pt idx="34">
                  <c:v>0.0562912799347411</c:v>
                </c:pt>
              </c:numCache>
            </c:numRef>
          </c:val>
          <c:smooth val="0"/>
        </c:ser>
        <c:dLbls>
          <c:showLegendKey val="0"/>
          <c:showVal val="0"/>
          <c:showCatName val="0"/>
          <c:showSerName val="0"/>
          <c:showPercent val="0"/>
          <c:showBubbleSize val="0"/>
        </c:dLbls>
        <c:marker val="1"/>
        <c:smooth val="0"/>
        <c:axId val="2053203040"/>
        <c:axId val="2053201120"/>
      </c:lineChart>
      <c:catAx>
        <c:axId val="205320304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53201120"/>
        <c:crosses val="autoZero"/>
        <c:auto val="1"/>
        <c:lblAlgn val="ctr"/>
        <c:lblOffset val="100"/>
        <c:noMultiLvlLbl val="0"/>
      </c:catAx>
      <c:valAx>
        <c:axId val="2053201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r>
                  <a:rPr lang="en-GB"/>
                  <a:t>t CO2e/t Al</a:t>
                </a:r>
                <a:endParaRPr lang="en-GB"/>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crossAx val="2053203040"/>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2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40" b="0" i="0" u="none" strike="noStrike" kern="1200" spc="0" baseline="0">
                <a:solidFill>
                  <a:schemeClr val="tx1">
                    <a:lumMod val="65000"/>
                    <a:lumOff val="35000"/>
                  </a:schemeClr>
                </a:solidFill>
                <a:latin typeface="+mn-lt"/>
                <a:ea typeface="+mn-ea"/>
                <a:cs typeface="+mn-cs"/>
              </a:defRPr>
            </a:pPr>
            <a:r>
              <a:rPr lang="en-GB"/>
              <a:t>Semi-fab Procurement Scope 3.1</a:t>
            </a:r>
            <a:endParaRPr lang="en-GB"/>
          </a:p>
        </c:rich>
      </c:tx>
      <c:layout/>
      <c:overlay val="0"/>
      <c:spPr>
        <a:noFill/>
        <a:ln>
          <a:noFill/>
        </a:ln>
        <a:effectLst/>
      </c:spPr>
    </c:title>
    <c:autoTitleDeleted val="0"/>
    <c:plotArea>
      <c:layout>
        <c:manualLayout>
          <c:layoutTarget val="inner"/>
          <c:xMode val="edge"/>
          <c:yMode val="edge"/>
          <c:x val="0.0842911111111111"/>
          <c:y val="0.0807274074074074"/>
          <c:w val="0.907753555555556"/>
          <c:h val="0.766571523676026"/>
        </c:manualLayout>
      </c:layout>
      <c:lineChart>
        <c:grouping val="standard"/>
        <c:varyColors val="0"/>
        <c:ser>
          <c:idx val="0"/>
          <c:order val="0"/>
          <c:tx>
            <c:strRef>
              <c:f>"Entity Semis Procurement Slope"</c:f>
              <c:strCache>
                <c:ptCount val="1"/>
                <c:pt idx="0">
                  <c:v>Entity Semis Procurement Slope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numRef>
              <c:f>'[67db6731664c2.xlsx]Casthouse &amp; Post-CH Data Entry'!$D$17:$AL$17</c:f>
              <c:numCache>
                <c:formatCode>0</c:formatCode>
                <c:ptCount val="35"/>
                <c:pt idx="0" c:formatCode="0">
                  <c:v>2016</c:v>
                </c:pt>
                <c:pt idx="1" c:formatCode="0">
                  <c:v>2017</c:v>
                </c:pt>
                <c:pt idx="2" c:formatCode="0">
                  <c:v>2018</c:v>
                </c:pt>
                <c:pt idx="3" c:formatCode="0">
                  <c:v>2019</c:v>
                </c:pt>
                <c:pt idx="4" c:formatCode="0">
                  <c:v>2020</c:v>
                </c:pt>
                <c:pt idx="5" c:formatCode="0">
                  <c:v>2021</c:v>
                </c:pt>
                <c:pt idx="6" c:formatCode="0">
                  <c:v>2022</c:v>
                </c:pt>
                <c:pt idx="7" c:formatCode="0">
                  <c:v>2023</c:v>
                </c:pt>
                <c:pt idx="8" c:formatCode="0">
                  <c:v>2024</c:v>
                </c:pt>
                <c:pt idx="9" c:formatCode="0">
                  <c:v>2025</c:v>
                </c:pt>
                <c:pt idx="10" c:formatCode="0">
                  <c:v>2026</c:v>
                </c:pt>
                <c:pt idx="11" c:formatCode="0">
                  <c:v>2027</c:v>
                </c:pt>
                <c:pt idx="12" c:formatCode="0">
                  <c:v>2028</c:v>
                </c:pt>
                <c:pt idx="13" c:formatCode="0">
                  <c:v>2029</c:v>
                </c:pt>
                <c:pt idx="14" c:formatCode="0">
                  <c:v>2030</c:v>
                </c:pt>
                <c:pt idx="15" c:formatCode="0">
                  <c:v>2031</c:v>
                </c:pt>
                <c:pt idx="16" c:formatCode="0">
                  <c:v>2032</c:v>
                </c:pt>
                <c:pt idx="17" c:formatCode="0">
                  <c:v>2033</c:v>
                </c:pt>
                <c:pt idx="18" c:formatCode="0">
                  <c:v>2034</c:v>
                </c:pt>
                <c:pt idx="19" c:formatCode="0">
                  <c:v>2035</c:v>
                </c:pt>
                <c:pt idx="20" c:formatCode="0">
                  <c:v>2036</c:v>
                </c:pt>
                <c:pt idx="21" c:formatCode="0">
                  <c:v>2037</c:v>
                </c:pt>
                <c:pt idx="22" c:formatCode="0">
                  <c:v>2038</c:v>
                </c:pt>
                <c:pt idx="23" c:formatCode="0">
                  <c:v>2039</c:v>
                </c:pt>
                <c:pt idx="24" c:formatCode="0">
                  <c:v>2040</c:v>
                </c:pt>
                <c:pt idx="25" c:formatCode="0">
                  <c:v>2041</c:v>
                </c:pt>
                <c:pt idx="26" c:formatCode="0">
                  <c:v>2042</c:v>
                </c:pt>
                <c:pt idx="27" c:formatCode="0">
                  <c:v>2043</c:v>
                </c:pt>
                <c:pt idx="28" c:formatCode="0">
                  <c:v>2044</c:v>
                </c:pt>
                <c:pt idx="29" c:formatCode="0">
                  <c:v>2045</c:v>
                </c:pt>
                <c:pt idx="30" c:formatCode="0">
                  <c:v>2046</c:v>
                </c:pt>
                <c:pt idx="31" c:formatCode="0">
                  <c:v>2047</c:v>
                </c:pt>
                <c:pt idx="32" c:formatCode="0">
                  <c:v>2048</c:v>
                </c:pt>
                <c:pt idx="33" c:formatCode="0">
                  <c:v>2049</c:v>
                </c:pt>
                <c:pt idx="34" c:formatCode="0">
                  <c:v>2050</c:v>
                </c:pt>
              </c:numCache>
            </c:numRef>
          </c:cat>
          <c:val>
            <c:numRef>
              <c:f>'[67db6731664c2.xlsx]Casthouse &amp; Post-CH Data Entry'!$D$15:$AL$15</c:f>
              <c:numCache>
                <c:formatCode>General</c:formatCode>
                <c:ptCount val="35"/>
                <c:pt idx="7" c:formatCode="0.0">
                  <c:v>16.09</c:v>
                </c:pt>
                <c:pt idx="8" c:formatCode="0.000">
                  <c:v>14.481</c:v>
                </c:pt>
                <c:pt idx="9" c:formatCode="0.000">
                  <c:v>13.0329</c:v>
                </c:pt>
                <c:pt idx="10" c:formatCode="0.000">
                  <c:v>11.72961</c:v>
                </c:pt>
                <c:pt idx="11" c:formatCode="0.000">
                  <c:v>10.556649</c:v>
                </c:pt>
                <c:pt idx="12" c:formatCode="0.000">
                  <c:v>9.5009841</c:v>
                </c:pt>
                <c:pt idx="13" c:formatCode="0.000">
                  <c:v>8.55088569</c:v>
                </c:pt>
                <c:pt idx="14" c:formatCode="0.000">
                  <c:v>7.695797121</c:v>
                </c:pt>
                <c:pt idx="15" c:formatCode="0.000">
                  <c:v>6.1566376968</c:v>
                </c:pt>
                <c:pt idx="16" c:formatCode="0.000">
                  <c:v>4.92531015744</c:v>
                </c:pt>
                <c:pt idx="17" c:formatCode="0.000">
                  <c:v>3.940248125952</c:v>
                </c:pt>
                <c:pt idx="18" c:formatCode="0.000">
                  <c:v>3.1521985007616</c:v>
                </c:pt>
                <c:pt idx="19" c:formatCode="0.000">
                  <c:v>2.52175880060928</c:v>
                </c:pt>
                <c:pt idx="20" c:formatCode="0.000">
                  <c:v>2.01740704048742</c:v>
                </c:pt>
                <c:pt idx="21" c:formatCode="0.000">
                  <c:v>1.61392563238994</c:v>
                </c:pt>
                <c:pt idx="22" c:formatCode="0.000">
                  <c:v>1.29114050591195</c:v>
                </c:pt>
                <c:pt idx="23" c:formatCode="0.000">
                  <c:v>1.03291240472956</c:v>
                </c:pt>
                <c:pt idx="24" c:formatCode="0.000">
                  <c:v>0.826329923783649</c:v>
                </c:pt>
                <c:pt idx="25" c:formatCode="0.000">
                  <c:v>0.702380435216102</c:v>
                </c:pt>
                <c:pt idx="26" c:formatCode="0.000">
                  <c:v>0.597023369933687</c:v>
                </c:pt>
                <c:pt idx="27" c:formatCode="0.000">
                  <c:v>0.507469864443634</c:v>
                </c:pt>
                <c:pt idx="28" c:formatCode="0.000">
                  <c:v>0.431349384777089</c:v>
                </c:pt>
                <c:pt idx="29" c:formatCode="0.000">
                  <c:v>0.366646977060525</c:v>
                </c:pt>
                <c:pt idx="30" c:formatCode="0.000">
                  <c:v>0.311649930501447</c:v>
                </c:pt>
                <c:pt idx="31" c:formatCode="0.000">
                  <c:v>0.26490244092623</c:v>
                </c:pt>
                <c:pt idx="32" c:formatCode="0.000">
                  <c:v>0.225167074787295</c:v>
                </c:pt>
                <c:pt idx="33" c:formatCode="0.000">
                  <c:v>0.191392013569201</c:v>
                </c:pt>
                <c:pt idx="34" c:formatCode="0.000">
                  <c:v>0.162683211533821</c:v>
                </c:pt>
              </c:numCache>
            </c:numRef>
          </c:val>
          <c:smooth val="0"/>
        </c:ser>
        <c:ser>
          <c:idx val="1"/>
          <c:order val="1"/>
          <c:tx>
            <c:strRef>
              <c:f>"Sector Semis Procurement"</c:f>
              <c:strCache>
                <c:ptCount val="1"/>
                <c:pt idx="0">
                  <c:v>Sector Semis Procurement</c:v>
                </c:pt>
              </c:strCache>
            </c:strRef>
          </c:tx>
          <c:spPr>
            <a:ln w="28575" cap="rnd">
              <a:solidFill>
                <a:schemeClr val="accent2"/>
              </a:solidFill>
              <a:prstDash val="dash"/>
              <a:round/>
            </a:ln>
            <a:effectLst/>
          </c:spPr>
          <c:marker>
            <c:symbol val="none"/>
          </c:marker>
          <c:dLbls>
            <c:delete val="1"/>
          </c:dLbls>
          <c:cat>
            <c:numRef>
              <c:f>'[67db6731664c2.xlsx]Casthouse &amp; Post-CH Data Entry'!$D$17:$AL$17</c:f>
              <c:numCache>
                <c:formatCode>0</c:formatCode>
                <c:ptCount val="35"/>
                <c:pt idx="0" c:formatCode="0">
                  <c:v>2016</c:v>
                </c:pt>
                <c:pt idx="1" c:formatCode="0">
                  <c:v>2017</c:v>
                </c:pt>
                <c:pt idx="2" c:formatCode="0">
                  <c:v>2018</c:v>
                </c:pt>
                <c:pt idx="3" c:formatCode="0">
                  <c:v>2019</c:v>
                </c:pt>
                <c:pt idx="4" c:formatCode="0">
                  <c:v>2020</c:v>
                </c:pt>
                <c:pt idx="5" c:formatCode="0">
                  <c:v>2021</c:v>
                </c:pt>
                <c:pt idx="6" c:formatCode="0">
                  <c:v>2022</c:v>
                </c:pt>
                <c:pt idx="7" c:formatCode="0">
                  <c:v>2023</c:v>
                </c:pt>
                <c:pt idx="8" c:formatCode="0">
                  <c:v>2024</c:v>
                </c:pt>
                <c:pt idx="9" c:formatCode="0">
                  <c:v>2025</c:v>
                </c:pt>
                <c:pt idx="10" c:formatCode="0">
                  <c:v>2026</c:v>
                </c:pt>
                <c:pt idx="11" c:formatCode="0">
                  <c:v>2027</c:v>
                </c:pt>
                <c:pt idx="12" c:formatCode="0">
                  <c:v>2028</c:v>
                </c:pt>
                <c:pt idx="13" c:formatCode="0">
                  <c:v>2029</c:v>
                </c:pt>
                <c:pt idx="14" c:formatCode="0">
                  <c:v>2030</c:v>
                </c:pt>
                <c:pt idx="15" c:formatCode="0">
                  <c:v>2031</c:v>
                </c:pt>
                <c:pt idx="16" c:formatCode="0">
                  <c:v>2032</c:v>
                </c:pt>
                <c:pt idx="17" c:formatCode="0">
                  <c:v>2033</c:v>
                </c:pt>
                <c:pt idx="18" c:formatCode="0">
                  <c:v>2034</c:v>
                </c:pt>
                <c:pt idx="19" c:formatCode="0">
                  <c:v>2035</c:v>
                </c:pt>
                <c:pt idx="20" c:formatCode="0">
                  <c:v>2036</c:v>
                </c:pt>
                <c:pt idx="21" c:formatCode="0">
                  <c:v>2037</c:v>
                </c:pt>
                <c:pt idx="22" c:formatCode="0">
                  <c:v>2038</c:v>
                </c:pt>
                <c:pt idx="23" c:formatCode="0">
                  <c:v>2039</c:v>
                </c:pt>
                <c:pt idx="24" c:formatCode="0">
                  <c:v>2040</c:v>
                </c:pt>
                <c:pt idx="25" c:formatCode="0">
                  <c:v>2041</c:v>
                </c:pt>
                <c:pt idx="26" c:formatCode="0">
                  <c:v>2042</c:v>
                </c:pt>
                <c:pt idx="27" c:formatCode="0">
                  <c:v>2043</c:v>
                </c:pt>
                <c:pt idx="28" c:formatCode="0">
                  <c:v>2044</c:v>
                </c:pt>
                <c:pt idx="29" c:formatCode="0">
                  <c:v>2045</c:v>
                </c:pt>
                <c:pt idx="30" c:formatCode="0">
                  <c:v>2046</c:v>
                </c:pt>
                <c:pt idx="31" c:formatCode="0">
                  <c:v>2047</c:v>
                </c:pt>
                <c:pt idx="32" c:formatCode="0">
                  <c:v>2048</c:v>
                </c:pt>
                <c:pt idx="33" c:formatCode="0">
                  <c:v>2049</c:v>
                </c:pt>
                <c:pt idx="34" c:formatCode="0">
                  <c:v>2050</c:v>
                </c:pt>
              </c:numCache>
            </c:numRef>
          </c:cat>
          <c:val>
            <c:numRef>
              <c:f>'[67db6731664c2.xlsx]Semis Procurement Data Table'!$B$2:$AJ$2</c:f>
              <c:numCache>
                <c:formatCode>0.0</c:formatCode>
                <c:ptCount val="35"/>
                <c:pt idx="0">
                  <c:v>8.24867126054661</c:v>
                </c:pt>
                <c:pt idx="1">
                  <c:v>8.24867126054661</c:v>
                </c:pt>
                <c:pt idx="2">
                  <c:v>8.24867126054661</c:v>
                </c:pt>
                <c:pt idx="3">
                  <c:v>8.05492255946508</c:v>
                </c:pt>
                <c:pt idx="4">
                  <c:v>7.58652377493512</c:v>
                </c:pt>
                <c:pt idx="5">
                  <c:v>7.65200706994068</c:v>
                </c:pt>
                <c:pt idx="6">
                  <c:v>7.4486938681416</c:v>
                </c:pt>
                <c:pt idx="7">
                  <c:v>7.05539852254688</c:v>
                </c:pt>
                <c:pt idx="8">
                  <c:v>6.83446493464727</c:v>
                </c:pt>
                <c:pt idx="9">
                  <c:v>6.60767193589557</c:v>
                </c:pt>
                <c:pt idx="10">
                  <c:v>6.24942585189977</c:v>
                </c:pt>
                <c:pt idx="11">
                  <c:v>6.2059459137741</c:v>
                </c:pt>
                <c:pt idx="12">
                  <c:v>5.91240731167805</c:v>
                </c:pt>
                <c:pt idx="13">
                  <c:v>5.60803219064225</c:v>
                </c:pt>
                <c:pt idx="14">
                  <c:v>5.2481978021096</c:v>
                </c:pt>
                <c:pt idx="15">
                  <c:v>4.54573276493162</c:v>
                </c:pt>
                <c:pt idx="16">
                  <c:v>3.59808512487754</c:v>
                </c:pt>
                <c:pt idx="17">
                  <c:v>3.29587842539145</c:v>
                </c:pt>
                <c:pt idx="18">
                  <c:v>2.63896613016371</c:v>
                </c:pt>
                <c:pt idx="19">
                  <c:v>1.97695034714769</c:v>
                </c:pt>
                <c:pt idx="20">
                  <c:v>1.8493618397132</c:v>
                </c:pt>
                <c:pt idx="21">
                  <c:v>1.46438478894095</c:v>
                </c:pt>
                <c:pt idx="22">
                  <c:v>1.26903068217716</c:v>
                </c:pt>
                <c:pt idx="23">
                  <c:v>1.06582965159548</c:v>
                </c:pt>
                <c:pt idx="24">
                  <c:v>1.03407728897237</c:v>
                </c:pt>
                <c:pt idx="25">
                  <c:v>0.935544231059637</c:v>
                </c:pt>
                <c:pt idx="26">
                  <c:v>0.7916650354337</c:v>
                </c:pt>
                <c:pt idx="27">
                  <c:v>0.673823534076158</c:v>
                </c:pt>
                <c:pt idx="28">
                  <c:v>0.654333500315705</c:v>
                </c:pt>
                <c:pt idx="29">
                  <c:v>0.574850834470385</c:v>
                </c:pt>
                <c:pt idx="30">
                  <c:v>0.528495010203488</c:v>
                </c:pt>
                <c:pt idx="31">
                  <c:v>0.493731461807158</c:v>
                </c:pt>
                <c:pt idx="32">
                  <c:v>0.363464358308358</c:v>
                </c:pt>
                <c:pt idx="33">
                  <c:v>0.289955441228936</c:v>
                </c:pt>
                <c:pt idx="34">
                  <c:v>0.254907408174699</c:v>
                </c:pt>
              </c:numCache>
            </c:numRef>
          </c:val>
          <c:smooth val="0"/>
        </c:ser>
        <c:dLbls>
          <c:showLegendKey val="0"/>
          <c:showVal val="0"/>
          <c:showCatName val="0"/>
          <c:showSerName val="0"/>
          <c:showPercent val="0"/>
          <c:showBubbleSize val="0"/>
        </c:dLbls>
        <c:marker val="1"/>
        <c:smooth val="0"/>
        <c:axId val="2053203040"/>
        <c:axId val="2053201120"/>
      </c:lineChart>
      <c:catAx>
        <c:axId val="205320304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53201120"/>
        <c:crosses val="autoZero"/>
        <c:auto val="1"/>
        <c:lblAlgn val="ctr"/>
        <c:lblOffset val="100"/>
        <c:noMultiLvlLbl val="0"/>
      </c:catAx>
      <c:valAx>
        <c:axId val="2053201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r>
                  <a:rPr lang="en-GB"/>
                  <a:t>t CO2e/t Al</a:t>
                </a:r>
                <a:endParaRPr lang="en-GB"/>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crossAx val="2053203040"/>
        <c:crosses val="autoZero"/>
        <c:crossBetween val="midCat"/>
      </c:valAx>
      <c:spPr>
        <a:noFill/>
        <a:ln>
          <a:noFill/>
        </a:ln>
        <a:effectLst/>
      </c:spPr>
    </c:plotArea>
    <c:legend>
      <c:legendPos val="b"/>
      <c:layout>
        <c:manualLayout>
          <c:xMode val="edge"/>
          <c:yMode val="edge"/>
          <c:x val="0.132559135181419"/>
          <c:y val="0.923089300080451"/>
        </c:manualLayout>
      </c:layout>
      <c:overlay val="0"/>
      <c:spPr>
        <a:noFill/>
        <a:ln>
          <a:noFill/>
        </a:ln>
        <a:effectLst/>
      </c:spPr>
      <c:txPr>
        <a:bodyPr rot="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2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2115</Words>
  <Characters>2418</Characters>
  <Lines>0</Lines>
  <Paragraphs>0</Paragraphs>
  <TotalTime>873</TotalTime>
  <ScaleCrop>false</ScaleCrop>
  <LinksUpToDate>false</LinksUpToDate>
  <CharactersWithSpaces>2422</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2026-08-31T09:23:00Z</dcterms:created>
  <dc:creator>叶锦秀</dc:creator>
  <cp:lastModifiedBy>ZQY</cp:lastModifiedBy>
  <dcterms:modified xsi:type="dcterms:W3CDTF">2026-09-02T00:52:43Z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DE39E6A042A8403BA4D284B1754EAD7B_11</vt:lpwstr>
  </property>
  <property fmtid="{D5CDD505-2E9C-101B-9397-08002B2CF9AE}" pid="4" name="KSOTemplateDocerSaveRecord">
    <vt:lpwstr>eyJoZGlkIjoiZjIwOTU0ZWI0YzMzYzQwYTcxOGY5ZmMyOTQxOWYzMjUiLCJ1c2VySWQiOiIxODAxNDc3MTc5In0=</vt:lpwstr>
  </property>
</Properties>
</file>